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附件</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ascii="宋体" w:hAnsi="宋体" w:eastAsia="宋体" w:cs="宋体"/>
          <w:b/>
          <w:sz w:val="44"/>
          <w:szCs w:val="44"/>
        </w:rPr>
      </w:pPr>
      <w:r>
        <w:rPr>
          <w:rFonts w:hint="eastAsia" w:ascii="宋体" w:hAnsi="宋体" w:eastAsia="宋体" w:cs="宋体"/>
          <w:b/>
          <w:sz w:val="44"/>
          <w:szCs w:val="44"/>
        </w:rPr>
        <w:t>内蒙古自治区</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ascii="宋体" w:hAnsi="宋体" w:eastAsia="宋体" w:cs="宋体"/>
          <w:b/>
          <w:sz w:val="44"/>
          <w:szCs w:val="44"/>
        </w:rPr>
      </w:pPr>
      <w:r>
        <w:rPr>
          <w:rFonts w:hint="eastAsia" w:ascii="宋体" w:hAnsi="宋体" w:eastAsia="宋体" w:cs="宋体"/>
          <w:b/>
          <w:sz w:val="44"/>
          <w:szCs w:val="44"/>
        </w:rPr>
        <w:t>“优秀造价工程师”评选办法（试行）</w:t>
      </w:r>
    </w:p>
    <w:p>
      <w:pPr>
        <w:adjustRightInd w:val="0"/>
        <w:snapToGrid w:val="0"/>
        <w:spacing w:line="360" w:lineRule="auto"/>
        <w:rPr>
          <w:rFonts w:ascii="宋体" w:hAnsi="宋体" w:eastAsia="宋体" w:cs="宋体"/>
          <w:b/>
          <w:sz w:val="24"/>
        </w:rPr>
      </w:pPr>
    </w:p>
    <w:p>
      <w:pPr>
        <w:adjustRightInd w:val="0"/>
        <w:snapToGrid w:val="0"/>
        <w:spacing w:line="360" w:lineRule="auto"/>
        <w:ind w:firstLine="643" w:firstLineChars="200"/>
        <w:rPr>
          <w:rFonts w:ascii="Arial" w:hAnsi="宋体" w:cs="Arial"/>
          <w:sz w:val="32"/>
          <w:szCs w:val="32"/>
        </w:rPr>
      </w:pPr>
      <w:r>
        <w:rPr>
          <w:rFonts w:hint="eastAsia" w:ascii="宋体" w:hAnsi="宋体" w:eastAsia="宋体" w:cs="宋体"/>
          <w:b/>
          <w:sz w:val="32"/>
          <w:szCs w:val="32"/>
        </w:rPr>
        <w:t xml:space="preserve">第一条  </w:t>
      </w:r>
      <w:r>
        <w:rPr>
          <w:rFonts w:hint="eastAsia" w:ascii="Arial" w:hAnsi="宋体" w:cs="Arial"/>
          <w:sz w:val="32"/>
          <w:szCs w:val="32"/>
        </w:rPr>
        <w:t>为表彰先进，强化造价工程师的社会监督，积极推进造价工程师守信联合激励和失信联合惩戒机制，促进工程造价行业的健康发展，</w:t>
      </w:r>
      <w:r>
        <w:rPr>
          <w:rFonts w:ascii="Arial" w:hAnsi="宋体" w:cs="Arial"/>
          <w:sz w:val="32"/>
          <w:szCs w:val="32"/>
        </w:rPr>
        <w:t>依据</w:t>
      </w:r>
      <w:r>
        <w:rPr>
          <w:rFonts w:hint="eastAsia" w:ascii="Arial" w:hAnsi="宋体" w:cs="Arial"/>
          <w:sz w:val="32"/>
          <w:szCs w:val="32"/>
        </w:rPr>
        <w:t>《国务院办公厅关于社会信用体系建设的若干意见》（国办发﹝20</w:t>
      </w:r>
      <w:r>
        <w:rPr>
          <w:rFonts w:ascii="Arial" w:hAnsi="宋体" w:cs="Arial"/>
          <w:sz w:val="32"/>
          <w:szCs w:val="32"/>
        </w:rPr>
        <w:t>0</w:t>
      </w:r>
      <w:r>
        <w:rPr>
          <w:rFonts w:hint="eastAsia" w:ascii="Arial" w:hAnsi="宋体" w:cs="Arial"/>
          <w:sz w:val="32"/>
          <w:szCs w:val="32"/>
        </w:rPr>
        <w:t>7﹞17号）</w:t>
      </w:r>
      <w:r>
        <w:rPr>
          <w:rFonts w:ascii="Arial" w:hAnsi="宋体" w:cs="Arial"/>
          <w:sz w:val="32"/>
          <w:szCs w:val="32"/>
        </w:rPr>
        <w:t>、建设部《关于加快推进建筑市场信用体系建设工作的意见》</w:t>
      </w:r>
      <w:r>
        <w:rPr>
          <w:rFonts w:hint="eastAsia" w:ascii="Arial" w:hAnsi="宋体" w:cs="Arial"/>
          <w:sz w:val="32"/>
          <w:szCs w:val="32"/>
        </w:rPr>
        <w:t>（</w:t>
      </w:r>
      <w:r>
        <w:rPr>
          <w:rFonts w:ascii="Arial" w:hAnsi="宋体" w:cs="Arial"/>
          <w:sz w:val="32"/>
          <w:szCs w:val="32"/>
        </w:rPr>
        <w:t>建市</w:t>
      </w:r>
      <w:r>
        <w:rPr>
          <w:rFonts w:hint="eastAsia" w:ascii="Arial" w:hAnsi="宋体" w:cs="Arial"/>
          <w:sz w:val="32"/>
          <w:szCs w:val="32"/>
        </w:rPr>
        <w:t>﹝20</w:t>
      </w:r>
      <w:r>
        <w:rPr>
          <w:rFonts w:ascii="Arial" w:hAnsi="宋体" w:cs="Arial"/>
          <w:sz w:val="32"/>
          <w:szCs w:val="32"/>
        </w:rPr>
        <w:t>05</w:t>
      </w:r>
      <w:r>
        <w:rPr>
          <w:rFonts w:hint="eastAsia" w:ascii="Arial" w:hAnsi="宋体" w:cs="Arial"/>
          <w:sz w:val="32"/>
          <w:szCs w:val="32"/>
        </w:rPr>
        <w:t>﹞</w:t>
      </w:r>
      <w:r>
        <w:rPr>
          <w:rFonts w:ascii="Arial" w:hAnsi="宋体" w:cs="Arial"/>
          <w:sz w:val="32"/>
          <w:szCs w:val="32"/>
        </w:rPr>
        <w:t>138号</w:t>
      </w:r>
      <w:r>
        <w:rPr>
          <w:rFonts w:hint="eastAsia" w:ascii="Arial" w:hAnsi="宋体" w:cs="Arial"/>
          <w:sz w:val="32"/>
          <w:szCs w:val="32"/>
        </w:rPr>
        <w:t>）、《住房城乡建设部关于加强和改善工程造价监管的意见》（建标﹝2017﹞209号），内蒙古自治区工程建设协会结合实际情况，在内蒙古自治区范围内开展“优秀造价工程师”评选活动，特制定本办法。</w:t>
      </w:r>
    </w:p>
    <w:p>
      <w:pPr>
        <w:adjustRightInd w:val="0"/>
        <w:snapToGrid w:val="0"/>
        <w:spacing w:line="360" w:lineRule="auto"/>
        <w:ind w:firstLine="643" w:firstLineChars="200"/>
        <w:rPr>
          <w:rFonts w:ascii="宋体" w:hAnsi="宋体" w:eastAsia="宋体" w:cs="宋体"/>
          <w:sz w:val="32"/>
          <w:szCs w:val="32"/>
        </w:rPr>
      </w:pPr>
      <w:r>
        <w:rPr>
          <w:rFonts w:hint="eastAsia" w:ascii="宋体" w:hAnsi="宋体" w:eastAsia="宋体" w:cs="宋体"/>
          <w:b/>
          <w:sz w:val="32"/>
          <w:szCs w:val="32"/>
        </w:rPr>
        <w:t xml:space="preserve">第二条  </w:t>
      </w:r>
      <w:r>
        <w:rPr>
          <w:rFonts w:hint="eastAsia" w:ascii="Arial" w:hAnsi="宋体" w:cs="Arial"/>
          <w:sz w:val="32"/>
          <w:szCs w:val="32"/>
        </w:rPr>
        <w:t>“优秀造价工程师”</w:t>
      </w:r>
      <w:r>
        <w:rPr>
          <w:rFonts w:ascii="Arial" w:hAnsi="宋体" w:cs="Arial"/>
          <w:sz w:val="32"/>
          <w:szCs w:val="32"/>
        </w:rPr>
        <w:t>评选活动按照公开公正、统一标准的原则，由工程建设协会主办</w:t>
      </w:r>
      <w:r>
        <w:rPr>
          <w:rFonts w:hint="eastAsia" w:ascii="Arial" w:hAnsi="宋体" w:cs="Arial"/>
          <w:sz w:val="32"/>
          <w:szCs w:val="32"/>
        </w:rPr>
        <w:t>，为内蒙古自治区工程造价行业中个人最高奖项，</w:t>
      </w:r>
      <w:r>
        <w:rPr>
          <w:rFonts w:ascii="Arial" w:hAnsi="宋体" w:cs="Arial"/>
          <w:sz w:val="32"/>
          <w:szCs w:val="32"/>
        </w:rPr>
        <w:t>每两年为一评选周期、每期评选一次（具体时间以评选通知规定为准）</w:t>
      </w:r>
      <w:r>
        <w:rPr>
          <w:rFonts w:hint="eastAsia" w:ascii="宋体" w:hAnsi="宋体" w:eastAsia="宋体" w:cs="宋体"/>
          <w:sz w:val="32"/>
          <w:szCs w:val="32"/>
        </w:rPr>
        <w:t>。</w:t>
      </w:r>
    </w:p>
    <w:p>
      <w:pPr>
        <w:spacing w:line="360" w:lineRule="auto"/>
        <w:ind w:firstLine="646" w:firstLineChars="201"/>
        <w:rPr>
          <w:rFonts w:ascii="Arial" w:hAnsi="Arial" w:cs="Arial"/>
          <w:sz w:val="32"/>
          <w:szCs w:val="32"/>
        </w:rPr>
      </w:pPr>
      <w:r>
        <w:rPr>
          <w:rFonts w:hint="eastAsia" w:ascii="宋体" w:hAnsi="宋体" w:eastAsia="宋体" w:cs="宋体"/>
          <w:b/>
          <w:sz w:val="32"/>
          <w:szCs w:val="32"/>
        </w:rPr>
        <w:t xml:space="preserve">第三条  </w:t>
      </w:r>
      <w:r>
        <w:rPr>
          <w:rFonts w:ascii="Arial" w:hAnsi="宋体" w:cs="Arial"/>
          <w:sz w:val="32"/>
          <w:szCs w:val="32"/>
        </w:rPr>
        <w:t>为积极、稳妥地推进工作，</w:t>
      </w:r>
      <w:r>
        <w:rPr>
          <w:rFonts w:hint="eastAsia" w:ascii="宋体" w:hAnsi="宋体" w:eastAsia="宋体" w:cs="宋体"/>
          <w:sz w:val="32"/>
          <w:szCs w:val="32"/>
        </w:rPr>
        <w:t>已在内蒙古自治区行政区域内注册的</w:t>
      </w:r>
      <w:r>
        <w:rPr>
          <w:rFonts w:hint="eastAsia" w:ascii="Arial" w:hAnsi="宋体" w:cs="Arial"/>
          <w:sz w:val="32"/>
          <w:szCs w:val="32"/>
        </w:rPr>
        <w:t>造价工程师</w:t>
      </w:r>
      <w:r>
        <w:rPr>
          <w:rFonts w:ascii="Arial" w:hAnsi="宋体" w:cs="Arial"/>
          <w:sz w:val="32"/>
          <w:szCs w:val="32"/>
        </w:rPr>
        <w:t>均可</w:t>
      </w:r>
      <w:r>
        <w:rPr>
          <w:rFonts w:hint="eastAsia" w:ascii="宋体" w:hAnsi="宋体" w:eastAsia="宋体" w:cs="宋体"/>
          <w:sz w:val="32"/>
          <w:szCs w:val="32"/>
        </w:rPr>
        <w:t>自愿参加评选活动</w:t>
      </w:r>
      <w:r>
        <w:rPr>
          <w:rFonts w:ascii="Arial" w:hAnsi="宋体" w:cs="Arial"/>
          <w:sz w:val="32"/>
          <w:szCs w:val="32"/>
        </w:rPr>
        <w:t>。</w:t>
      </w:r>
      <w:r>
        <w:rPr>
          <w:rFonts w:hint="eastAsia" w:ascii="Arial" w:hAnsi="宋体" w:cs="Arial"/>
          <w:sz w:val="32"/>
          <w:szCs w:val="32"/>
        </w:rPr>
        <w:t>各单位自行推荐，申报人所在的执业单位</w:t>
      </w:r>
      <w:r>
        <w:rPr>
          <w:rFonts w:ascii="Arial" w:hAnsi="宋体" w:cs="Arial"/>
          <w:sz w:val="32"/>
          <w:szCs w:val="32"/>
        </w:rPr>
        <w:t>必须是</w:t>
      </w:r>
      <w:r>
        <w:rPr>
          <w:rFonts w:hint="eastAsia" w:ascii="Arial" w:hAnsi="宋体" w:cs="Arial"/>
          <w:sz w:val="32"/>
          <w:szCs w:val="32"/>
        </w:rPr>
        <w:t>工程建设协会</w:t>
      </w:r>
      <w:r>
        <w:rPr>
          <w:rFonts w:ascii="Arial" w:hAnsi="宋体" w:cs="Arial"/>
          <w:sz w:val="32"/>
          <w:szCs w:val="32"/>
        </w:rPr>
        <w:t>会员单位，</w:t>
      </w:r>
      <w:r>
        <w:rPr>
          <w:rFonts w:hint="eastAsia" w:ascii="Arial" w:hAnsi="宋体" w:cs="Arial"/>
          <w:sz w:val="32"/>
          <w:szCs w:val="32"/>
        </w:rPr>
        <w:t>否则</w:t>
      </w:r>
      <w:r>
        <w:rPr>
          <w:rFonts w:ascii="Arial" w:hAnsi="宋体" w:cs="Arial"/>
          <w:sz w:val="32"/>
          <w:szCs w:val="32"/>
        </w:rPr>
        <w:t>不予参评。</w:t>
      </w:r>
    </w:p>
    <w:p>
      <w:pPr>
        <w:tabs>
          <w:tab w:val="left" w:pos="0"/>
          <w:tab w:val="left" w:pos="540"/>
        </w:tabs>
        <w:adjustRightInd w:val="0"/>
        <w:snapToGrid w:val="0"/>
        <w:spacing w:line="360" w:lineRule="auto"/>
        <w:ind w:firstLine="643" w:firstLineChars="200"/>
        <w:rPr>
          <w:rFonts w:ascii="宋体" w:hAnsi="宋体" w:eastAsia="宋体" w:cs="宋体"/>
          <w:sz w:val="32"/>
          <w:szCs w:val="32"/>
        </w:rPr>
      </w:pPr>
      <w:r>
        <w:rPr>
          <w:rFonts w:hint="eastAsia" w:ascii="宋体" w:hAnsi="宋体" w:eastAsia="宋体" w:cs="宋体"/>
          <w:b/>
          <w:sz w:val="32"/>
          <w:szCs w:val="32"/>
        </w:rPr>
        <w:t>第四条</w:t>
      </w:r>
      <w:r>
        <w:rPr>
          <w:rFonts w:hint="eastAsia" w:ascii="宋体" w:hAnsi="宋体" w:eastAsia="宋体" w:cs="宋体"/>
          <w:sz w:val="32"/>
          <w:szCs w:val="32"/>
        </w:rPr>
        <w:t xml:space="preserve">  评选条件</w:t>
      </w:r>
    </w:p>
    <w:p>
      <w:pPr>
        <w:adjustRightInd w:val="0"/>
        <w:snapToGrid w:val="0"/>
        <w:spacing w:line="360" w:lineRule="auto"/>
        <w:ind w:firstLine="570"/>
        <w:rPr>
          <w:rFonts w:ascii="宋体" w:hAnsi="宋体" w:eastAsia="宋体" w:cs="宋体"/>
          <w:sz w:val="32"/>
          <w:szCs w:val="32"/>
        </w:rPr>
      </w:pPr>
      <w:r>
        <w:rPr>
          <w:rFonts w:hint="eastAsia" w:ascii="宋体" w:hAnsi="宋体" w:eastAsia="宋体" w:cs="宋体"/>
          <w:sz w:val="32"/>
          <w:szCs w:val="32"/>
        </w:rPr>
        <w:t>1．热爱祖国、遵纪守法、爱岗敬业，有良好的职业道德和社会信誉。</w:t>
      </w:r>
    </w:p>
    <w:p>
      <w:pPr>
        <w:adjustRightInd w:val="0"/>
        <w:snapToGrid w:val="0"/>
        <w:spacing w:line="360" w:lineRule="auto"/>
        <w:ind w:firstLine="570"/>
        <w:rPr>
          <w:rFonts w:ascii="宋体" w:hAnsi="宋体" w:eastAsia="宋体" w:cs="宋体"/>
          <w:sz w:val="32"/>
          <w:szCs w:val="32"/>
        </w:rPr>
      </w:pPr>
      <w:r>
        <w:rPr>
          <w:rFonts w:hint="eastAsia" w:ascii="宋体" w:hAnsi="宋体" w:eastAsia="宋体" w:cs="宋体"/>
          <w:sz w:val="32"/>
          <w:szCs w:val="32"/>
        </w:rPr>
        <w:t>2．坚持社会主义荣辱观，廉洁奉公，诚实守信，自觉抵制腐败行为，无违规违纪等不良行为记录。</w:t>
      </w:r>
    </w:p>
    <w:p>
      <w:pPr>
        <w:adjustRightInd w:val="0"/>
        <w:snapToGrid w:val="0"/>
        <w:spacing w:line="360" w:lineRule="auto"/>
        <w:ind w:firstLine="570"/>
        <w:rPr>
          <w:rFonts w:ascii="宋体" w:hAnsi="宋体" w:eastAsia="宋体" w:cs="宋体"/>
          <w:sz w:val="32"/>
          <w:szCs w:val="32"/>
        </w:rPr>
      </w:pPr>
      <w:r>
        <w:rPr>
          <w:rFonts w:hint="eastAsia" w:ascii="宋体" w:hAnsi="宋体" w:eastAsia="宋体" w:cs="宋体"/>
          <w:sz w:val="32"/>
          <w:szCs w:val="32"/>
        </w:rPr>
        <w:t>3．具有较强的事业心和责任感，工作业绩突出，工程造价管理经验和组织协调能力较强。</w:t>
      </w:r>
    </w:p>
    <w:p>
      <w:pPr>
        <w:adjustRightInd w:val="0"/>
        <w:snapToGrid w:val="0"/>
        <w:spacing w:line="360" w:lineRule="auto"/>
        <w:ind w:firstLine="570"/>
        <w:rPr>
          <w:rFonts w:ascii="宋体" w:hAnsi="宋体" w:eastAsia="宋体" w:cs="宋体"/>
          <w:sz w:val="32"/>
          <w:szCs w:val="32"/>
        </w:rPr>
      </w:pPr>
      <w:r>
        <w:rPr>
          <w:rFonts w:hint="eastAsia" w:ascii="宋体" w:hAnsi="宋体" w:eastAsia="宋体" w:cs="宋体"/>
          <w:sz w:val="32"/>
          <w:szCs w:val="32"/>
        </w:rPr>
        <w:t>4．努力钻研业务，工作精益求精，在工程造价业务工作和专业理论研究中，贡献较突出。</w:t>
      </w:r>
    </w:p>
    <w:p>
      <w:pPr>
        <w:adjustRightInd w:val="0"/>
        <w:snapToGrid w:val="0"/>
        <w:spacing w:line="360" w:lineRule="auto"/>
        <w:ind w:firstLine="570"/>
        <w:rPr>
          <w:rFonts w:ascii="宋体" w:hAnsi="宋体" w:eastAsia="宋体" w:cs="宋体"/>
          <w:sz w:val="32"/>
          <w:szCs w:val="32"/>
        </w:rPr>
      </w:pPr>
      <w:r>
        <w:rPr>
          <w:rFonts w:hint="eastAsia" w:ascii="宋体" w:hAnsi="宋体" w:eastAsia="宋体" w:cs="宋体"/>
          <w:sz w:val="32"/>
          <w:szCs w:val="32"/>
        </w:rPr>
        <w:t>5．遵守《内蒙古自治区工程造价咨询行业自律公约》等行规行约。</w:t>
      </w:r>
    </w:p>
    <w:p>
      <w:pPr>
        <w:adjustRightInd w:val="0"/>
        <w:snapToGrid w:val="0"/>
        <w:spacing w:line="360" w:lineRule="auto"/>
        <w:ind w:firstLine="570"/>
        <w:rPr>
          <w:rFonts w:ascii="宋体" w:hAnsi="宋体" w:eastAsia="宋体" w:cs="宋体"/>
          <w:sz w:val="32"/>
          <w:szCs w:val="32"/>
        </w:rPr>
      </w:pPr>
      <w:r>
        <w:rPr>
          <w:rFonts w:hint="eastAsia" w:ascii="宋体" w:hAnsi="宋体" w:eastAsia="宋体" w:cs="宋体"/>
          <w:sz w:val="32"/>
          <w:szCs w:val="32"/>
        </w:rPr>
        <w:t>6.</w:t>
      </w:r>
      <w:r>
        <w:rPr>
          <w:rFonts w:ascii="宋体" w:hAnsi="宋体" w:eastAsia="宋体" w:cs="宋体"/>
          <w:sz w:val="32"/>
          <w:szCs w:val="32"/>
        </w:rPr>
        <w:t xml:space="preserve"> </w:t>
      </w:r>
      <w:r>
        <w:rPr>
          <w:rFonts w:hint="eastAsia" w:ascii="宋体" w:hAnsi="宋体" w:eastAsia="宋体" w:cs="宋体"/>
          <w:sz w:val="32"/>
          <w:szCs w:val="32"/>
        </w:rPr>
        <w:t>积极参加工程建设协会组织的各项活动，支持行业协会的工作，为工程造价行业的改革与发展献计献策。</w:t>
      </w:r>
    </w:p>
    <w:p>
      <w:pPr>
        <w:adjustRightInd w:val="0"/>
        <w:snapToGrid w:val="0"/>
        <w:spacing w:line="360" w:lineRule="auto"/>
        <w:ind w:firstLine="570"/>
        <w:rPr>
          <w:rFonts w:ascii="宋体" w:hAnsi="宋体" w:eastAsia="宋体" w:cs="宋体"/>
          <w:sz w:val="32"/>
          <w:szCs w:val="32"/>
        </w:rPr>
      </w:pPr>
      <w:r>
        <w:rPr>
          <w:rFonts w:hint="eastAsia" w:ascii="宋体" w:hAnsi="宋体" w:eastAsia="宋体" w:cs="宋体"/>
          <w:sz w:val="32"/>
          <w:szCs w:val="32"/>
        </w:rPr>
        <w:t>7.</w:t>
      </w:r>
      <w:r>
        <w:rPr>
          <w:rFonts w:ascii="宋体" w:hAnsi="宋体" w:eastAsia="宋体" w:cs="宋体"/>
          <w:sz w:val="32"/>
          <w:szCs w:val="32"/>
        </w:rPr>
        <w:t xml:space="preserve"> </w:t>
      </w:r>
      <w:r>
        <w:rPr>
          <w:rFonts w:hint="eastAsia" w:ascii="宋体" w:hAnsi="宋体" w:eastAsia="宋体" w:cs="宋体"/>
          <w:sz w:val="32"/>
          <w:szCs w:val="32"/>
        </w:rPr>
        <w:t>执业行为符合《注册造价工程师管理办法》（建设部令第150号）等规定。</w:t>
      </w:r>
    </w:p>
    <w:p>
      <w:pPr>
        <w:adjustRightInd w:val="0"/>
        <w:snapToGrid w:val="0"/>
        <w:spacing w:line="360" w:lineRule="auto"/>
        <w:ind w:firstLine="643" w:firstLineChars="200"/>
        <w:rPr>
          <w:rFonts w:ascii="宋体" w:hAnsi="宋体" w:eastAsia="宋体" w:cs="宋体"/>
          <w:sz w:val="32"/>
          <w:szCs w:val="32"/>
        </w:rPr>
      </w:pPr>
      <w:r>
        <w:rPr>
          <w:rFonts w:hint="eastAsia" w:ascii="宋体" w:hAnsi="宋体" w:eastAsia="宋体" w:cs="宋体"/>
          <w:b/>
          <w:sz w:val="32"/>
          <w:szCs w:val="32"/>
        </w:rPr>
        <w:t xml:space="preserve">第五条  </w:t>
      </w:r>
      <w:r>
        <w:rPr>
          <w:rFonts w:hint="eastAsia" w:ascii="宋体" w:hAnsi="宋体" w:eastAsia="宋体" w:cs="宋体"/>
          <w:sz w:val="32"/>
          <w:szCs w:val="32"/>
        </w:rPr>
        <w:t>评选程序</w:t>
      </w:r>
    </w:p>
    <w:p>
      <w:pPr>
        <w:adjustRightInd w:val="0"/>
        <w:snapToGrid w:val="0"/>
        <w:spacing w:line="360" w:lineRule="auto"/>
        <w:ind w:firstLine="640" w:firstLineChars="200"/>
        <w:rPr>
          <w:rFonts w:ascii="Arial" w:hAnsi="宋体" w:cs="Arial"/>
          <w:sz w:val="32"/>
          <w:szCs w:val="32"/>
        </w:rPr>
      </w:pPr>
      <w:r>
        <w:rPr>
          <w:rFonts w:ascii="Arial" w:hAnsi="宋体" w:cs="Arial"/>
          <w:sz w:val="32"/>
          <w:szCs w:val="32"/>
        </w:rPr>
        <w:t>为充分体现</w:t>
      </w:r>
      <w:r>
        <w:rPr>
          <w:rFonts w:hint="eastAsia" w:ascii="Arial" w:hAnsi="宋体" w:cs="Arial"/>
          <w:sz w:val="32"/>
          <w:szCs w:val="32"/>
        </w:rPr>
        <w:t>评选</w:t>
      </w:r>
      <w:r>
        <w:rPr>
          <w:rFonts w:ascii="Arial" w:hAnsi="宋体" w:cs="Arial"/>
          <w:sz w:val="32"/>
          <w:szCs w:val="32"/>
        </w:rPr>
        <w:t>活动的公开、公平、公正，</w:t>
      </w:r>
      <w:r>
        <w:rPr>
          <w:rFonts w:hint="eastAsia" w:ascii="Arial" w:hAnsi="宋体" w:cs="Arial"/>
          <w:sz w:val="32"/>
          <w:szCs w:val="32"/>
        </w:rPr>
        <w:t>工程建设协会</w:t>
      </w:r>
      <w:r>
        <w:rPr>
          <w:rFonts w:ascii="Arial" w:hAnsi="宋体" w:cs="Arial"/>
          <w:sz w:val="32"/>
          <w:szCs w:val="32"/>
        </w:rPr>
        <w:t>成立</w:t>
      </w:r>
      <w:r>
        <w:rPr>
          <w:rFonts w:hint="eastAsia" w:ascii="Arial" w:hAnsi="宋体" w:cs="Arial"/>
          <w:sz w:val="32"/>
          <w:szCs w:val="32"/>
        </w:rPr>
        <w:t>评审委员会</w:t>
      </w:r>
      <w:r>
        <w:rPr>
          <w:rFonts w:ascii="Arial" w:hAnsi="宋体" w:cs="Arial"/>
          <w:sz w:val="32"/>
          <w:szCs w:val="32"/>
        </w:rPr>
        <w:t>，负责</w:t>
      </w:r>
      <w:r>
        <w:rPr>
          <w:rFonts w:hint="eastAsia" w:ascii="Arial" w:hAnsi="宋体" w:cs="Arial"/>
          <w:sz w:val="32"/>
          <w:szCs w:val="32"/>
        </w:rPr>
        <w:t>评选</w:t>
      </w:r>
      <w:r>
        <w:rPr>
          <w:rFonts w:ascii="Arial" w:hAnsi="宋体" w:cs="Arial"/>
          <w:sz w:val="32"/>
          <w:szCs w:val="32"/>
        </w:rPr>
        <w:t>具体工作，</w:t>
      </w:r>
      <w:r>
        <w:rPr>
          <w:rFonts w:hint="eastAsia" w:ascii="Arial" w:hAnsi="宋体" w:cs="Arial"/>
          <w:sz w:val="32"/>
          <w:szCs w:val="32"/>
        </w:rPr>
        <w:t>评选</w:t>
      </w:r>
      <w:r>
        <w:rPr>
          <w:rFonts w:ascii="Arial" w:hAnsi="宋体" w:cs="Arial"/>
          <w:sz w:val="32"/>
          <w:szCs w:val="32"/>
        </w:rPr>
        <w:t>活动采取自愿报名、单位推荐</w:t>
      </w:r>
      <w:r>
        <w:rPr>
          <w:rFonts w:hint="eastAsia" w:ascii="Arial" w:hAnsi="宋体" w:cs="Arial"/>
          <w:sz w:val="32"/>
          <w:szCs w:val="32"/>
        </w:rPr>
        <w:t>、</w:t>
      </w:r>
      <w:r>
        <w:rPr>
          <w:rFonts w:ascii="Arial" w:hAnsi="宋体" w:cs="Arial"/>
          <w:sz w:val="32"/>
          <w:szCs w:val="32"/>
        </w:rPr>
        <w:t>综合能力考核的方式进行。</w:t>
      </w:r>
    </w:p>
    <w:p>
      <w:pPr>
        <w:pStyle w:val="13"/>
        <w:numPr>
          <w:ilvl w:val="0"/>
          <w:numId w:val="1"/>
        </w:numPr>
        <w:spacing w:line="360" w:lineRule="auto"/>
        <w:ind w:left="0" w:firstLine="640" w:firstLineChars="0"/>
        <w:rPr>
          <w:rFonts w:ascii="Arial" w:hAnsi="宋体" w:cs="Arial"/>
          <w:sz w:val="32"/>
          <w:szCs w:val="32"/>
        </w:rPr>
      </w:pPr>
      <w:r>
        <w:rPr>
          <w:rFonts w:ascii="Arial" w:hAnsi="宋体" w:cs="Arial"/>
          <w:sz w:val="32"/>
          <w:szCs w:val="32"/>
        </w:rPr>
        <w:t>评选</w:t>
      </w:r>
      <w:r>
        <w:rPr>
          <w:rFonts w:hint="eastAsia" w:ascii="Arial" w:hAnsi="宋体" w:cs="Arial"/>
          <w:sz w:val="32"/>
          <w:szCs w:val="32"/>
        </w:rPr>
        <w:t>办公室</w:t>
      </w:r>
      <w:r>
        <w:rPr>
          <w:rFonts w:ascii="Arial" w:hAnsi="宋体" w:cs="Arial"/>
          <w:sz w:val="32"/>
          <w:szCs w:val="32"/>
        </w:rPr>
        <w:t>设在</w:t>
      </w:r>
      <w:r>
        <w:rPr>
          <w:rFonts w:hint="eastAsia" w:ascii="Arial" w:hAnsi="宋体" w:cs="Arial"/>
          <w:sz w:val="32"/>
          <w:szCs w:val="32"/>
        </w:rPr>
        <w:t>工程建设协会秘书处</w:t>
      </w:r>
      <w:r>
        <w:rPr>
          <w:rFonts w:ascii="Arial" w:hAnsi="宋体" w:cs="Arial"/>
          <w:sz w:val="32"/>
          <w:szCs w:val="32"/>
        </w:rPr>
        <w:t>，负责活动的开展和组织协调工作。</w:t>
      </w:r>
    </w:p>
    <w:p>
      <w:pPr>
        <w:spacing w:line="360" w:lineRule="auto"/>
        <w:ind w:firstLine="640" w:firstLineChars="200"/>
        <w:rPr>
          <w:rFonts w:ascii="Arial" w:hAnsi="宋体" w:cs="Arial"/>
          <w:sz w:val="32"/>
          <w:szCs w:val="32"/>
        </w:rPr>
      </w:pPr>
      <w:r>
        <w:rPr>
          <w:rFonts w:hint="eastAsia" w:ascii="Arial" w:hAnsi="宋体" w:cs="Arial"/>
          <w:sz w:val="32"/>
          <w:szCs w:val="32"/>
        </w:rPr>
        <w:t>评审委员会由工程建设协会专家库中随机抽取的专家组成，由工程建设协会造价专委会主任、副主任负责监督。</w:t>
      </w:r>
    </w:p>
    <w:p>
      <w:pPr>
        <w:spacing w:line="360" w:lineRule="auto"/>
        <w:ind w:firstLine="640" w:firstLineChars="200"/>
        <w:rPr>
          <w:rFonts w:ascii="Arial" w:hAnsi="宋体" w:cs="Arial"/>
          <w:sz w:val="32"/>
          <w:szCs w:val="32"/>
        </w:rPr>
      </w:pPr>
      <w:r>
        <w:rPr>
          <w:rFonts w:ascii="Arial" w:hAnsi="宋体" w:cs="Arial"/>
          <w:sz w:val="32"/>
          <w:szCs w:val="32"/>
        </w:rPr>
        <w:t xml:space="preserve">2. </w:t>
      </w:r>
      <w:r>
        <w:rPr>
          <w:rFonts w:hint="eastAsia" w:ascii="Arial" w:hAnsi="宋体" w:cs="Arial"/>
          <w:sz w:val="32"/>
          <w:szCs w:val="32"/>
        </w:rPr>
        <w:t>工程建设协会</w:t>
      </w:r>
      <w:r>
        <w:rPr>
          <w:rFonts w:ascii="Arial" w:hAnsi="宋体" w:cs="Arial"/>
          <w:sz w:val="32"/>
          <w:szCs w:val="32"/>
        </w:rPr>
        <w:t>秘书处</w:t>
      </w:r>
      <w:r>
        <w:rPr>
          <w:rFonts w:hint="eastAsia" w:ascii="Arial" w:hAnsi="宋体" w:cs="Arial"/>
          <w:sz w:val="32"/>
          <w:szCs w:val="32"/>
        </w:rPr>
        <w:t>接收</w:t>
      </w:r>
      <w:r>
        <w:rPr>
          <w:rFonts w:ascii="Arial" w:hAnsi="宋体" w:cs="Arial"/>
          <w:sz w:val="32"/>
          <w:szCs w:val="32"/>
        </w:rPr>
        <w:t>申报材料并核验</w:t>
      </w:r>
      <w:r>
        <w:rPr>
          <w:rFonts w:hint="eastAsia" w:ascii="Arial" w:hAnsi="宋体" w:cs="Arial"/>
          <w:sz w:val="32"/>
          <w:szCs w:val="32"/>
        </w:rPr>
        <w:t>相关</w:t>
      </w:r>
      <w:r>
        <w:rPr>
          <w:rFonts w:ascii="Arial" w:hAnsi="宋体" w:cs="Arial"/>
          <w:sz w:val="32"/>
          <w:szCs w:val="32"/>
        </w:rPr>
        <w:t>原件。</w:t>
      </w:r>
    </w:p>
    <w:p>
      <w:pPr>
        <w:spacing w:line="360" w:lineRule="auto"/>
        <w:ind w:firstLine="640" w:firstLineChars="200"/>
        <w:rPr>
          <w:rFonts w:ascii="Arial" w:hAnsi="宋体" w:cs="Arial"/>
          <w:sz w:val="32"/>
          <w:szCs w:val="32"/>
        </w:rPr>
      </w:pPr>
      <w:r>
        <w:rPr>
          <w:rFonts w:ascii="Arial" w:hAnsi="宋体" w:cs="Arial"/>
          <w:sz w:val="32"/>
          <w:szCs w:val="32"/>
        </w:rPr>
        <w:t xml:space="preserve">3. </w:t>
      </w:r>
      <w:r>
        <w:rPr>
          <w:rFonts w:hint="eastAsia" w:ascii="Arial" w:hAnsi="宋体" w:cs="Arial"/>
          <w:sz w:val="32"/>
          <w:szCs w:val="32"/>
        </w:rPr>
        <w:t>评审委员会</w:t>
      </w:r>
      <w:r>
        <w:rPr>
          <w:rFonts w:ascii="Arial" w:hAnsi="宋体" w:cs="Arial"/>
          <w:sz w:val="32"/>
          <w:szCs w:val="32"/>
        </w:rPr>
        <w:t>对申报材料进行评审</w:t>
      </w:r>
      <w:r>
        <w:rPr>
          <w:rFonts w:hint="eastAsia" w:ascii="Arial" w:hAnsi="宋体" w:cs="Arial"/>
          <w:sz w:val="32"/>
          <w:szCs w:val="32"/>
        </w:rPr>
        <w:t>，并出具评审意见</w:t>
      </w:r>
      <w:r>
        <w:rPr>
          <w:rFonts w:ascii="Arial" w:hAnsi="宋体" w:cs="Arial"/>
          <w:sz w:val="32"/>
          <w:szCs w:val="32"/>
        </w:rPr>
        <w:t>。</w:t>
      </w:r>
    </w:p>
    <w:p>
      <w:pPr>
        <w:spacing w:line="360" w:lineRule="auto"/>
        <w:ind w:firstLine="640" w:firstLineChars="200"/>
        <w:rPr>
          <w:rFonts w:ascii="Arial" w:hAnsi="宋体" w:cs="Arial"/>
          <w:sz w:val="32"/>
          <w:szCs w:val="32"/>
        </w:rPr>
      </w:pPr>
      <w:r>
        <w:rPr>
          <w:rFonts w:ascii="Arial" w:hAnsi="宋体" w:cs="Arial"/>
          <w:sz w:val="32"/>
          <w:szCs w:val="32"/>
        </w:rPr>
        <w:t>4.</w:t>
      </w:r>
      <w:r>
        <w:rPr>
          <w:rFonts w:hint="eastAsia" w:ascii="Arial" w:hAnsi="宋体" w:cs="Arial"/>
          <w:sz w:val="32"/>
          <w:szCs w:val="32"/>
        </w:rPr>
        <w:t xml:space="preserve"> 造价专委会依据评审意见</w:t>
      </w:r>
      <w:r>
        <w:rPr>
          <w:rFonts w:ascii="Arial" w:hAnsi="宋体" w:cs="Arial"/>
          <w:sz w:val="32"/>
          <w:szCs w:val="32"/>
        </w:rPr>
        <w:t>组织</w:t>
      </w:r>
      <w:r>
        <w:rPr>
          <w:rFonts w:hint="eastAsia" w:ascii="Arial" w:hAnsi="宋体" w:cs="Arial"/>
          <w:sz w:val="32"/>
          <w:szCs w:val="32"/>
        </w:rPr>
        <w:t>复审，并协同评审委员会对通过初审的申请人进行评审考核</w:t>
      </w:r>
      <w:r>
        <w:rPr>
          <w:rFonts w:ascii="Arial" w:hAnsi="宋体" w:cs="Arial"/>
          <w:sz w:val="32"/>
          <w:szCs w:val="32"/>
        </w:rPr>
        <w:t>。</w:t>
      </w:r>
    </w:p>
    <w:p>
      <w:pPr>
        <w:spacing w:line="360" w:lineRule="auto"/>
        <w:ind w:firstLine="640" w:firstLineChars="200"/>
        <w:rPr>
          <w:rFonts w:ascii="Arial" w:hAnsi="Arial" w:cs="Arial"/>
          <w:sz w:val="32"/>
          <w:szCs w:val="32"/>
        </w:rPr>
      </w:pPr>
      <w:r>
        <w:rPr>
          <w:rFonts w:ascii="Arial" w:hAnsi="宋体" w:cs="Arial"/>
          <w:sz w:val="32"/>
          <w:szCs w:val="32"/>
        </w:rPr>
        <w:t xml:space="preserve">5. </w:t>
      </w:r>
      <w:r>
        <w:rPr>
          <w:rFonts w:ascii="Arial" w:hAnsi="Arial" w:cs="Arial"/>
          <w:sz w:val="32"/>
          <w:szCs w:val="32"/>
        </w:rPr>
        <w:t>评选结果将在</w:t>
      </w:r>
      <w:r>
        <w:rPr>
          <w:rFonts w:hint="eastAsia" w:ascii="Arial" w:hAnsi="Arial" w:cs="Arial"/>
          <w:sz w:val="32"/>
          <w:szCs w:val="32"/>
        </w:rPr>
        <w:t>工程建设协会官网</w:t>
      </w:r>
      <w:r>
        <w:rPr>
          <w:rFonts w:ascii="Arial" w:hAnsi="Arial" w:cs="Arial"/>
          <w:sz w:val="32"/>
          <w:szCs w:val="32"/>
        </w:rPr>
        <w:t>予以公示5个工作日，</w:t>
      </w:r>
      <w:r>
        <w:rPr>
          <w:rFonts w:ascii="Arial" w:hAnsi="宋体" w:cs="Arial"/>
          <w:sz w:val="32"/>
          <w:szCs w:val="32"/>
        </w:rPr>
        <w:t>并</w:t>
      </w:r>
      <w:r>
        <w:rPr>
          <w:rFonts w:ascii="Arial" w:hAnsi="Arial" w:cs="Arial"/>
          <w:sz w:val="32"/>
          <w:szCs w:val="32"/>
        </w:rPr>
        <w:t>征询有关管理部门意</w:t>
      </w:r>
      <w:r>
        <w:rPr>
          <w:rFonts w:ascii="Arial" w:hAnsi="宋体" w:cs="Arial"/>
          <w:sz w:val="32"/>
          <w:szCs w:val="32"/>
        </w:rPr>
        <w:t>见，接受社会各界的监督。</w:t>
      </w:r>
    </w:p>
    <w:p>
      <w:pPr>
        <w:snapToGrid w:val="0"/>
        <w:spacing w:line="360" w:lineRule="auto"/>
        <w:ind w:firstLine="645"/>
        <w:rPr>
          <w:rFonts w:ascii="Arial" w:hAnsi="Arial" w:cs="Arial"/>
          <w:sz w:val="32"/>
          <w:szCs w:val="32"/>
        </w:rPr>
      </w:pPr>
      <w:r>
        <w:rPr>
          <w:rFonts w:ascii="Arial" w:hAnsi="Arial" w:cs="Arial"/>
          <w:sz w:val="32"/>
          <w:szCs w:val="32"/>
        </w:rPr>
        <w:t xml:space="preserve">6. </w:t>
      </w:r>
      <w:r>
        <w:rPr>
          <w:rFonts w:ascii="Arial" w:hAnsi="宋体" w:cs="Arial"/>
          <w:sz w:val="32"/>
          <w:szCs w:val="32"/>
        </w:rPr>
        <w:t>公示期满后公布评选结果，向获誉个人颁发荣誉证书</w:t>
      </w:r>
      <w:r>
        <w:rPr>
          <w:rFonts w:hint="eastAsia" w:ascii="Arial" w:hAnsi="Arial" w:cs="Arial"/>
          <w:sz w:val="32"/>
          <w:szCs w:val="32"/>
        </w:rPr>
        <w:t>，</w:t>
      </w:r>
      <w:r>
        <w:rPr>
          <w:rFonts w:ascii="Arial" w:hAnsi="宋体" w:cs="Arial"/>
          <w:sz w:val="32"/>
          <w:szCs w:val="32"/>
        </w:rPr>
        <w:t>以示表彰。</w:t>
      </w:r>
    </w:p>
    <w:p>
      <w:pPr>
        <w:adjustRightInd w:val="0"/>
        <w:snapToGrid w:val="0"/>
        <w:spacing w:line="360" w:lineRule="auto"/>
        <w:ind w:firstLine="643" w:firstLineChars="200"/>
        <w:rPr>
          <w:rFonts w:ascii="Arial" w:hAnsi="宋体" w:cs="Arial"/>
          <w:sz w:val="32"/>
          <w:szCs w:val="32"/>
        </w:rPr>
      </w:pPr>
      <w:r>
        <w:rPr>
          <w:rFonts w:hint="eastAsia" w:ascii="宋体" w:hAnsi="宋体" w:eastAsia="宋体" w:cs="宋体"/>
          <w:b/>
          <w:sz w:val="32"/>
          <w:szCs w:val="32"/>
        </w:rPr>
        <w:t xml:space="preserve">第六条  </w:t>
      </w:r>
      <w:r>
        <w:rPr>
          <w:rFonts w:ascii="Arial" w:hAnsi="宋体" w:cs="Arial"/>
          <w:sz w:val="32"/>
          <w:szCs w:val="32"/>
        </w:rPr>
        <w:t>申报材料</w:t>
      </w:r>
      <w:r>
        <w:rPr>
          <w:rFonts w:hint="eastAsia" w:ascii="Arial" w:hAnsi="宋体" w:cs="Arial"/>
          <w:sz w:val="32"/>
          <w:szCs w:val="32"/>
        </w:rPr>
        <w:t>、评审考核</w:t>
      </w:r>
      <w:r>
        <w:rPr>
          <w:rFonts w:ascii="Arial" w:hAnsi="宋体" w:cs="Arial"/>
          <w:sz w:val="32"/>
          <w:szCs w:val="32"/>
        </w:rPr>
        <w:t>及评选标准</w:t>
      </w:r>
    </w:p>
    <w:p>
      <w:pPr>
        <w:adjustRightInd w:val="0"/>
        <w:snapToGrid w:val="0"/>
        <w:spacing w:line="360" w:lineRule="auto"/>
        <w:ind w:firstLine="640" w:firstLineChars="200"/>
        <w:rPr>
          <w:rFonts w:ascii="Arial" w:hAnsi="Arial" w:cs="Arial"/>
          <w:sz w:val="32"/>
          <w:szCs w:val="32"/>
        </w:rPr>
      </w:pPr>
      <w:r>
        <w:rPr>
          <w:rFonts w:ascii="宋体" w:hAnsi="宋体" w:eastAsia="宋体" w:cs="宋体"/>
          <w:sz w:val="32"/>
          <w:szCs w:val="32"/>
        </w:rPr>
        <w:t>评选活动采取自愿申报。</w:t>
      </w:r>
      <w:r>
        <w:rPr>
          <w:rFonts w:hint="eastAsia" w:ascii="宋体" w:hAnsi="宋体" w:eastAsia="宋体" w:cs="宋体"/>
          <w:sz w:val="32"/>
          <w:szCs w:val="32"/>
        </w:rPr>
        <w:t>工程建设协会</w:t>
      </w:r>
      <w:r>
        <w:rPr>
          <w:rFonts w:ascii="宋体" w:hAnsi="宋体" w:eastAsia="宋体" w:cs="宋体"/>
          <w:sz w:val="32"/>
          <w:szCs w:val="32"/>
        </w:rPr>
        <w:t>组织评选、公示</w:t>
      </w:r>
      <w:r>
        <w:rPr>
          <w:rFonts w:hint="eastAsia" w:ascii="宋体" w:hAnsi="宋体" w:eastAsia="宋体" w:cs="宋体"/>
          <w:sz w:val="32"/>
          <w:szCs w:val="32"/>
        </w:rPr>
        <w:t>、</w:t>
      </w:r>
      <w:r>
        <w:rPr>
          <w:rFonts w:ascii="宋体" w:hAnsi="宋体" w:eastAsia="宋体" w:cs="宋体"/>
          <w:sz w:val="32"/>
          <w:szCs w:val="32"/>
        </w:rPr>
        <w:t>监督，各单位</w:t>
      </w:r>
      <w:r>
        <w:rPr>
          <w:rFonts w:hint="eastAsia" w:ascii="宋体" w:hAnsi="宋体" w:eastAsia="宋体" w:cs="宋体"/>
          <w:sz w:val="32"/>
          <w:szCs w:val="32"/>
        </w:rPr>
        <w:t>应</w:t>
      </w:r>
      <w:r>
        <w:rPr>
          <w:rFonts w:ascii="宋体" w:hAnsi="宋体" w:eastAsia="宋体" w:cs="宋体"/>
          <w:sz w:val="32"/>
          <w:szCs w:val="32"/>
        </w:rPr>
        <w:t>认真进行宣传动员，鼓励</w:t>
      </w:r>
      <w:r>
        <w:rPr>
          <w:rFonts w:hint="eastAsia" w:ascii="宋体" w:hAnsi="宋体" w:eastAsia="宋体" w:cs="宋体"/>
          <w:sz w:val="32"/>
          <w:szCs w:val="32"/>
        </w:rPr>
        <w:t>申请</w:t>
      </w:r>
      <w:r>
        <w:rPr>
          <w:rFonts w:ascii="宋体" w:hAnsi="宋体" w:eastAsia="宋体" w:cs="宋体"/>
          <w:sz w:val="32"/>
          <w:szCs w:val="32"/>
        </w:rPr>
        <w:t>报名</w:t>
      </w:r>
      <w:r>
        <w:rPr>
          <w:rFonts w:hint="eastAsia" w:ascii="宋体" w:hAnsi="宋体" w:eastAsia="宋体" w:cs="宋体"/>
          <w:sz w:val="32"/>
          <w:szCs w:val="32"/>
        </w:rPr>
        <w:t>。</w:t>
      </w:r>
      <w:r>
        <w:rPr>
          <w:rFonts w:ascii="宋体" w:hAnsi="宋体" w:eastAsia="宋体" w:cs="宋体"/>
          <w:sz w:val="32"/>
          <w:szCs w:val="32"/>
        </w:rPr>
        <w:t>申请人需填写</w:t>
      </w:r>
      <w:r>
        <w:rPr>
          <w:rFonts w:ascii="Arial" w:hAnsi="宋体" w:cs="Arial"/>
          <w:sz w:val="32"/>
          <w:szCs w:val="32"/>
        </w:rPr>
        <w:t>《内蒙古</w:t>
      </w:r>
      <w:r>
        <w:rPr>
          <w:rFonts w:hint="eastAsia" w:ascii="Arial" w:hAnsi="宋体" w:cs="Arial"/>
          <w:sz w:val="32"/>
          <w:szCs w:val="32"/>
        </w:rPr>
        <w:t>自治区</w:t>
      </w:r>
      <w:r>
        <w:rPr>
          <w:rFonts w:ascii="Arial" w:hAnsi="Arial" w:cs="Arial"/>
          <w:sz w:val="32"/>
          <w:szCs w:val="32"/>
        </w:rPr>
        <w:t>“</w:t>
      </w:r>
      <w:r>
        <w:rPr>
          <w:rFonts w:hint="eastAsia" w:ascii="宋体" w:hAnsi="宋体" w:eastAsia="宋体" w:cs="宋体"/>
          <w:sz w:val="32"/>
          <w:szCs w:val="32"/>
        </w:rPr>
        <w:t>优秀造价工程师</w:t>
      </w:r>
      <w:r>
        <w:rPr>
          <w:rFonts w:ascii="Arial" w:hAnsi="Arial" w:cs="Arial"/>
          <w:sz w:val="32"/>
          <w:szCs w:val="32"/>
        </w:rPr>
        <w:t>”</w:t>
      </w:r>
      <w:r>
        <w:rPr>
          <w:rFonts w:ascii="Arial" w:hAnsi="宋体" w:cs="Arial"/>
          <w:sz w:val="32"/>
          <w:szCs w:val="32"/>
        </w:rPr>
        <w:t>申报材料》（附件</w:t>
      </w:r>
      <w:r>
        <w:rPr>
          <w:rFonts w:ascii="Arial" w:hAnsi="Arial" w:cs="Arial"/>
          <w:sz w:val="32"/>
          <w:szCs w:val="32"/>
        </w:rPr>
        <w:t>1</w:t>
      </w:r>
      <w:r>
        <w:rPr>
          <w:rFonts w:ascii="Arial" w:hAnsi="宋体" w:cs="Arial"/>
          <w:sz w:val="32"/>
          <w:szCs w:val="32"/>
        </w:rPr>
        <w:t>），按《</w:t>
      </w:r>
      <w:r>
        <w:rPr>
          <w:rFonts w:hint="eastAsia" w:ascii="Arial" w:hAnsi="宋体" w:cs="Arial"/>
          <w:sz w:val="32"/>
          <w:szCs w:val="32"/>
        </w:rPr>
        <w:t>内蒙古自治区</w:t>
      </w:r>
      <w:r>
        <w:rPr>
          <w:rFonts w:ascii="Arial" w:hAnsi="Arial" w:cs="Arial"/>
          <w:sz w:val="32"/>
          <w:szCs w:val="32"/>
        </w:rPr>
        <w:t>“</w:t>
      </w:r>
      <w:r>
        <w:rPr>
          <w:rFonts w:hint="eastAsia" w:ascii="宋体" w:hAnsi="宋体" w:eastAsia="宋体" w:cs="宋体"/>
          <w:sz w:val="32"/>
          <w:szCs w:val="32"/>
        </w:rPr>
        <w:t>优秀造价工程师</w:t>
      </w:r>
      <w:r>
        <w:rPr>
          <w:rFonts w:ascii="Arial" w:hAnsi="Arial" w:cs="Arial"/>
          <w:sz w:val="32"/>
          <w:szCs w:val="32"/>
        </w:rPr>
        <w:t>”</w:t>
      </w:r>
      <w:r>
        <w:rPr>
          <w:rFonts w:ascii="Arial" w:hAnsi="宋体" w:cs="Arial"/>
          <w:sz w:val="32"/>
          <w:szCs w:val="32"/>
        </w:rPr>
        <w:t>评分标准</w:t>
      </w:r>
      <w:r>
        <w:rPr>
          <w:rFonts w:hint="eastAsia" w:ascii="Arial" w:hAnsi="宋体" w:cs="Arial"/>
          <w:sz w:val="32"/>
          <w:szCs w:val="32"/>
        </w:rPr>
        <w:t>及评分办法</w:t>
      </w:r>
      <w:r>
        <w:rPr>
          <w:rFonts w:ascii="Arial" w:hAnsi="宋体" w:cs="Arial"/>
          <w:sz w:val="32"/>
          <w:szCs w:val="32"/>
        </w:rPr>
        <w:t>》（附件</w:t>
      </w:r>
      <w:r>
        <w:rPr>
          <w:rFonts w:ascii="Arial" w:hAnsi="Arial" w:cs="Arial"/>
          <w:sz w:val="32"/>
          <w:szCs w:val="32"/>
        </w:rPr>
        <w:t>2</w:t>
      </w:r>
      <w:r>
        <w:rPr>
          <w:rFonts w:ascii="Arial" w:hAnsi="宋体" w:cs="Arial"/>
          <w:sz w:val="32"/>
          <w:szCs w:val="32"/>
        </w:rPr>
        <w:t>）规定的各项评价指标提供相关材料</w:t>
      </w:r>
      <w:r>
        <w:rPr>
          <w:rFonts w:hint="eastAsia" w:ascii="Arial" w:hAnsi="宋体" w:cs="Arial"/>
          <w:sz w:val="32"/>
          <w:szCs w:val="32"/>
        </w:rPr>
        <w:t>。</w:t>
      </w:r>
      <w:r>
        <w:rPr>
          <w:rFonts w:ascii="宋体" w:hAnsi="宋体" w:eastAsia="宋体" w:cs="宋体"/>
          <w:sz w:val="32"/>
          <w:szCs w:val="32"/>
        </w:rPr>
        <w:t>申报资料一式</w:t>
      </w:r>
      <w:r>
        <w:rPr>
          <w:rFonts w:hint="eastAsia" w:ascii="宋体" w:hAnsi="宋体" w:eastAsia="宋体" w:cs="宋体"/>
          <w:sz w:val="32"/>
          <w:szCs w:val="32"/>
        </w:rPr>
        <w:t>贰</w:t>
      </w:r>
      <w:r>
        <w:rPr>
          <w:rFonts w:ascii="宋体" w:hAnsi="宋体" w:eastAsia="宋体" w:cs="宋体"/>
          <w:sz w:val="32"/>
          <w:szCs w:val="32"/>
        </w:rPr>
        <w:t>份装订成册，申报表加盖推荐单位公章，</w:t>
      </w:r>
      <w:r>
        <w:rPr>
          <w:rFonts w:hint="eastAsia" w:ascii="Arial" w:hAnsi="宋体" w:cs="Arial"/>
          <w:sz w:val="32"/>
          <w:szCs w:val="32"/>
        </w:rPr>
        <w:t>推荐单位</w:t>
      </w:r>
      <w:r>
        <w:rPr>
          <w:rFonts w:ascii="Arial" w:hAnsi="宋体" w:cs="Arial"/>
          <w:sz w:val="32"/>
          <w:szCs w:val="32"/>
        </w:rPr>
        <w:t>及</w:t>
      </w:r>
      <w:r>
        <w:rPr>
          <w:rFonts w:hint="eastAsia" w:ascii="Arial" w:hAnsi="宋体" w:cs="Arial"/>
          <w:sz w:val="32"/>
          <w:szCs w:val="32"/>
        </w:rPr>
        <w:t>申请</w:t>
      </w:r>
      <w:r>
        <w:rPr>
          <w:rFonts w:ascii="Arial" w:hAnsi="宋体" w:cs="Arial"/>
          <w:sz w:val="32"/>
          <w:szCs w:val="32"/>
        </w:rPr>
        <w:t>人对所申报材料真实性负责，不得弄虚作假。</w:t>
      </w:r>
    </w:p>
    <w:p>
      <w:pPr>
        <w:spacing w:line="360" w:lineRule="auto"/>
        <w:ind w:firstLine="707" w:firstLineChars="221"/>
        <w:rPr>
          <w:rFonts w:ascii="Arial" w:hAnsi="Arial" w:cs="Arial"/>
          <w:sz w:val="32"/>
          <w:szCs w:val="32"/>
        </w:rPr>
      </w:pPr>
      <w:r>
        <w:rPr>
          <w:rFonts w:hint="eastAsia" w:ascii="Arial" w:hAnsi="宋体" w:cs="Arial"/>
          <w:sz w:val="32"/>
          <w:szCs w:val="32"/>
        </w:rPr>
        <w:t>（一）</w:t>
      </w:r>
      <w:r>
        <w:rPr>
          <w:rFonts w:ascii="Arial" w:hAnsi="宋体" w:cs="Arial"/>
          <w:sz w:val="32"/>
          <w:szCs w:val="32"/>
        </w:rPr>
        <w:t>申报资料</w:t>
      </w:r>
    </w:p>
    <w:p>
      <w:pPr>
        <w:spacing w:line="360" w:lineRule="auto"/>
        <w:ind w:firstLine="640" w:firstLineChars="200"/>
        <w:rPr>
          <w:rFonts w:ascii="Arial" w:hAnsi="Arial" w:cs="Arial"/>
          <w:sz w:val="32"/>
          <w:szCs w:val="32"/>
        </w:rPr>
      </w:pPr>
      <w:r>
        <w:rPr>
          <w:rFonts w:ascii="Arial" w:hAnsi="Arial" w:cs="Arial"/>
          <w:sz w:val="32"/>
          <w:szCs w:val="32"/>
        </w:rPr>
        <w:t xml:space="preserve">1. </w:t>
      </w:r>
      <w:r>
        <w:rPr>
          <w:rFonts w:ascii="Arial" w:hAnsi="宋体" w:cs="Arial"/>
          <w:sz w:val="32"/>
          <w:szCs w:val="32"/>
        </w:rPr>
        <w:t>企业推荐声明（企业盖章）</w:t>
      </w:r>
      <w:r>
        <w:rPr>
          <w:rFonts w:hint="eastAsia" w:ascii="Arial" w:hAnsi="宋体" w:cs="Arial"/>
          <w:sz w:val="32"/>
          <w:szCs w:val="32"/>
        </w:rPr>
        <w:t>；</w:t>
      </w:r>
    </w:p>
    <w:p>
      <w:pPr>
        <w:spacing w:line="360" w:lineRule="auto"/>
        <w:ind w:firstLine="640" w:firstLineChars="200"/>
        <w:rPr>
          <w:rFonts w:ascii="Arial" w:hAnsi="Arial" w:cs="Arial"/>
          <w:sz w:val="32"/>
          <w:szCs w:val="32"/>
        </w:rPr>
      </w:pPr>
      <w:r>
        <w:rPr>
          <w:rFonts w:ascii="Arial" w:hAnsi="Arial" w:cs="Arial"/>
          <w:sz w:val="32"/>
          <w:szCs w:val="32"/>
        </w:rPr>
        <w:t xml:space="preserve">2. </w:t>
      </w:r>
      <w:r>
        <w:rPr>
          <w:rFonts w:ascii="Arial" w:hAnsi="宋体" w:cs="Arial"/>
          <w:sz w:val="32"/>
          <w:szCs w:val="32"/>
        </w:rPr>
        <w:t>个人参评申请（</w:t>
      </w:r>
      <w:r>
        <w:rPr>
          <w:rFonts w:hint="eastAsia" w:ascii="Arial" w:hAnsi="宋体" w:cs="Arial"/>
          <w:sz w:val="32"/>
          <w:szCs w:val="32"/>
        </w:rPr>
        <w:t>本</w:t>
      </w:r>
      <w:r>
        <w:rPr>
          <w:rFonts w:ascii="Arial" w:hAnsi="宋体" w:cs="Arial"/>
          <w:sz w:val="32"/>
          <w:szCs w:val="32"/>
        </w:rPr>
        <w:t>人签字）</w:t>
      </w:r>
      <w:r>
        <w:rPr>
          <w:rFonts w:hint="eastAsia" w:ascii="Arial" w:hAnsi="宋体" w:cs="Arial"/>
          <w:sz w:val="32"/>
          <w:szCs w:val="32"/>
        </w:rPr>
        <w:t>；</w:t>
      </w:r>
    </w:p>
    <w:p>
      <w:pPr>
        <w:spacing w:line="360" w:lineRule="auto"/>
        <w:ind w:firstLine="640" w:firstLineChars="200"/>
        <w:rPr>
          <w:rFonts w:ascii="Arial" w:hAnsi="Arial" w:cs="Arial"/>
          <w:sz w:val="32"/>
          <w:szCs w:val="32"/>
        </w:rPr>
      </w:pPr>
      <w:r>
        <w:rPr>
          <w:rFonts w:ascii="Arial" w:hAnsi="Arial" w:cs="Arial"/>
          <w:sz w:val="32"/>
          <w:szCs w:val="32"/>
        </w:rPr>
        <w:t xml:space="preserve">3. </w:t>
      </w:r>
      <w:r>
        <w:rPr>
          <w:rFonts w:hint="eastAsia" w:ascii="宋体" w:hAnsi="宋体" w:eastAsia="宋体" w:cs="宋体"/>
          <w:sz w:val="32"/>
          <w:szCs w:val="32"/>
        </w:rPr>
        <w:t>《内蒙古自治区“优秀造价工程师”评选申报表》；</w:t>
      </w:r>
    </w:p>
    <w:p>
      <w:pPr>
        <w:spacing w:line="360" w:lineRule="auto"/>
        <w:ind w:firstLine="640" w:firstLineChars="200"/>
        <w:rPr>
          <w:rFonts w:ascii="Arial" w:hAnsi="Arial" w:cs="Arial"/>
          <w:sz w:val="32"/>
          <w:szCs w:val="32"/>
        </w:rPr>
      </w:pPr>
      <w:r>
        <w:rPr>
          <w:rFonts w:ascii="Arial" w:hAnsi="Arial" w:cs="Arial"/>
          <w:sz w:val="32"/>
          <w:szCs w:val="32"/>
        </w:rPr>
        <w:t>4</w:t>
      </w:r>
      <w:r>
        <w:rPr>
          <w:rFonts w:hint="eastAsia" w:ascii="Arial" w:hAnsi="Arial" w:cs="Arial"/>
          <w:sz w:val="32"/>
          <w:szCs w:val="32"/>
        </w:rPr>
        <w:t>.</w:t>
      </w:r>
      <w:r>
        <w:rPr>
          <w:rFonts w:ascii="Arial" w:hAnsi="Arial" w:cs="Arial"/>
          <w:sz w:val="32"/>
          <w:szCs w:val="32"/>
        </w:rPr>
        <w:t xml:space="preserve"> 申请人</w:t>
      </w:r>
      <w:r>
        <w:rPr>
          <w:rFonts w:ascii="宋体" w:hAnsi="宋体" w:eastAsia="宋体" w:cs="宋体"/>
          <w:sz w:val="32"/>
          <w:szCs w:val="32"/>
        </w:rPr>
        <w:t>学历证</w:t>
      </w:r>
      <w:r>
        <w:rPr>
          <w:rFonts w:hint="eastAsia" w:ascii="宋体" w:hAnsi="宋体" w:eastAsia="宋体" w:cs="宋体"/>
          <w:sz w:val="32"/>
          <w:szCs w:val="32"/>
        </w:rPr>
        <w:t>、</w:t>
      </w:r>
      <w:r>
        <w:rPr>
          <w:rFonts w:hint="eastAsia" w:ascii="Arial" w:hAnsi="Arial" w:cs="Arial"/>
          <w:sz w:val="32"/>
          <w:szCs w:val="32"/>
        </w:rPr>
        <w:t>职称证、执</w:t>
      </w:r>
      <w:r>
        <w:rPr>
          <w:rFonts w:hint="eastAsia" w:ascii="宋体" w:hAnsi="宋体" w:eastAsia="宋体" w:cs="宋体"/>
          <w:sz w:val="32"/>
          <w:szCs w:val="32"/>
        </w:rPr>
        <w:t>业资格</w:t>
      </w:r>
      <w:r>
        <w:rPr>
          <w:rFonts w:ascii="宋体" w:hAnsi="宋体" w:eastAsia="宋体" w:cs="宋体"/>
          <w:sz w:val="32"/>
          <w:szCs w:val="32"/>
        </w:rPr>
        <w:t>证</w:t>
      </w:r>
      <w:r>
        <w:rPr>
          <w:rFonts w:hint="eastAsia" w:ascii="宋体" w:hAnsi="宋体" w:eastAsia="宋体" w:cs="宋体"/>
          <w:sz w:val="32"/>
          <w:szCs w:val="32"/>
        </w:rPr>
        <w:t>及本人认为必需证明文件的</w:t>
      </w:r>
      <w:r>
        <w:rPr>
          <w:rFonts w:ascii="宋体" w:hAnsi="宋体" w:eastAsia="宋体" w:cs="宋体"/>
          <w:sz w:val="32"/>
          <w:szCs w:val="32"/>
        </w:rPr>
        <w:t>复印件</w:t>
      </w:r>
      <w:r>
        <w:rPr>
          <w:rFonts w:ascii="宋体" w:hAnsi="宋体" w:eastAsia="宋体" w:cs="宋体"/>
          <w:color w:val="000000" w:themeColor="text1"/>
          <w:sz w:val="32"/>
          <w:szCs w:val="32"/>
          <w14:textFill>
            <w14:solidFill>
              <w14:schemeClr w14:val="tx1"/>
            </w14:solidFill>
          </w14:textFill>
        </w:rPr>
        <w:t>（</w:t>
      </w:r>
      <w:r>
        <w:rPr>
          <w:rFonts w:hint="eastAsia" w:ascii="宋体" w:hAnsi="宋体" w:eastAsia="宋体" w:cs="宋体"/>
          <w:color w:val="000000" w:themeColor="text1"/>
          <w:sz w:val="32"/>
          <w:szCs w:val="32"/>
          <w14:textFill>
            <w14:solidFill>
              <w14:schemeClr w14:val="tx1"/>
            </w14:solidFill>
          </w14:textFill>
        </w:rPr>
        <w:t>须查验原</w:t>
      </w:r>
      <w:r>
        <w:rPr>
          <w:rFonts w:hint="eastAsia" w:ascii="Arial" w:hAnsi="Arial" w:cs="Arial"/>
          <w:color w:val="000000" w:themeColor="text1"/>
          <w:sz w:val="32"/>
          <w:szCs w:val="32"/>
          <w14:textFill>
            <w14:solidFill>
              <w14:schemeClr w14:val="tx1"/>
            </w14:solidFill>
          </w14:textFill>
        </w:rPr>
        <w:t>件</w:t>
      </w:r>
      <w:r>
        <w:rPr>
          <w:rFonts w:ascii="Arial" w:hAnsi="Arial" w:cs="Arial"/>
          <w:color w:val="000000" w:themeColor="text1"/>
          <w:sz w:val="32"/>
          <w:szCs w:val="32"/>
          <w14:textFill>
            <w14:solidFill>
              <w14:schemeClr w14:val="tx1"/>
            </w14:solidFill>
          </w14:textFill>
        </w:rPr>
        <w:t>）</w:t>
      </w:r>
      <w:r>
        <w:rPr>
          <w:rFonts w:hint="eastAsia" w:ascii="Arial" w:hAnsi="Arial" w:cs="Arial"/>
          <w:color w:val="000000" w:themeColor="text1"/>
          <w:sz w:val="32"/>
          <w:szCs w:val="32"/>
          <w14:textFill>
            <w14:solidFill>
              <w14:schemeClr w14:val="tx1"/>
            </w14:solidFill>
          </w14:textFill>
        </w:rPr>
        <w:t>；</w:t>
      </w:r>
    </w:p>
    <w:p>
      <w:pPr>
        <w:snapToGrid w:val="0"/>
        <w:spacing w:line="360" w:lineRule="auto"/>
        <w:ind w:firstLine="640" w:firstLineChars="200"/>
        <w:rPr>
          <w:rFonts w:ascii="宋体" w:hAnsi="宋体" w:eastAsia="宋体" w:cs="宋体"/>
          <w:sz w:val="32"/>
          <w:szCs w:val="32"/>
        </w:rPr>
      </w:pPr>
      <w:r>
        <w:rPr>
          <w:rFonts w:ascii="Arial" w:hAnsi="Arial" w:cs="Arial"/>
          <w:sz w:val="32"/>
          <w:szCs w:val="32"/>
        </w:rPr>
        <w:t>5</w:t>
      </w:r>
      <w:r>
        <w:rPr>
          <w:rFonts w:hint="eastAsia" w:ascii="Arial" w:hAnsi="Arial" w:cs="Arial"/>
          <w:sz w:val="32"/>
          <w:szCs w:val="32"/>
        </w:rPr>
        <w:t>.</w:t>
      </w:r>
      <w:r>
        <w:rPr>
          <w:rFonts w:ascii="Arial" w:hAnsi="Arial" w:cs="Arial"/>
          <w:sz w:val="32"/>
          <w:szCs w:val="32"/>
        </w:rPr>
        <w:t xml:space="preserve"> </w:t>
      </w:r>
      <w:r>
        <w:rPr>
          <w:rFonts w:hint="eastAsia" w:ascii="宋体" w:hAnsi="宋体" w:eastAsia="宋体" w:cs="宋体"/>
          <w:sz w:val="32"/>
          <w:szCs w:val="32"/>
        </w:rPr>
        <w:t>申请人现</w:t>
      </w:r>
      <w:r>
        <w:rPr>
          <w:rFonts w:ascii="宋体" w:hAnsi="宋体" w:eastAsia="宋体" w:cs="宋体"/>
          <w:sz w:val="32"/>
          <w:szCs w:val="32"/>
        </w:rPr>
        <w:t>任职证明、劳动合同、交纳社会基本养老保险金的凭证复印件（加盖公章）；</w:t>
      </w:r>
      <w:r>
        <w:rPr>
          <w:rFonts w:hint="eastAsia" w:ascii="宋体" w:hAnsi="宋体" w:eastAsia="宋体" w:cs="宋体"/>
          <w:sz w:val="32"/>
          <w:szCs w:val="32"/>
        </w:rPr>
        <w:t>执业单位变更应提供不同单位的任职证明、劳动合同。</w:t>
      </w:r>
    </w:p>
    <w:p>
      <w:pPr>
        <w:adjustRightInd w:val="0"/>
        <w:snapToGrid w:val="0"/>
        <w:spacing w:line="360" w:lineRule="auto"/>
        <w:ind w:firstLine="707" w:firstLineChars="221"/>
        <w:rPr>
          <w:rFonts w:ascii="宋体" w:hAnsi="宋体" w:eastAsia="宋体" w:cs="宋体"/>
          <w:sz w:val="32"/>
          <w:szCs w:val="32"/>
        </w:rPr>
      </w:pPr>
      <w:r>
        <w:rPr>
          <w:rFonts w:ascii="Arial" w:hAnsi="Arial" w:cs="Arial"/>
          <w:sz w:val="32"/>
          <w:szCs w:val="32"/>
        </w:rPr>
        <w:t>6</w:t>
      </w:r>
      <w:r>
        <w:rPr>
          <w:rFonts w:hint="eastAsia" w:ascii="Arial" w:hAnsi="Arial" w:cs="Arial"/>
          <w:sz w:val="32"/>
          <w:szCs w:val="32"/>
        </w:rPr>
        <w:t>.</w:t>
      </w:r>
      <w:r>
        <w:rPr>
          <w:rFonts w:ascii="Arial" w:hAnsi="Arial" w:cs="Arial"/>
          <w:sz w:val="32"/>
          <w:szCs w:val="32"/>
        </w:rPr>
        <w:t xml:space="preserve"> </w:t>
      </w:r>
      <w:r>
        <w:rPr>
          <w:rFonts w:hint="eastAsia" w:ascii="宋体" w:hAnsi="宋体" w:eastAsia="宋体" w:cs="宋体"/>
          <w:sz w:val="32"/>
          <w:szCs w:val="32"/>
        </w:rPr>
        <w:t>申报“优秀造价工程师”，须申请人所在执业单位出具工作案例证明。包括：</w:t>
      </w:r>
    </w:p>
    <w:p>
      <w:pPr>
        <w:adjustRightInd w:val="0"/>
        <w:snapToGrid w:val="0"/>
        <w:spacing w:line="360" w:lineRule="auto"/>
        <w:ind w:firstLine="707" w:firstLineChars="221"/>
        <w:rPr>
          <w:rFonts w:ascii="宋体" w:hAnsi="宋体" w:eastAsia="宋体" w:cs="宋体"/>
          <w:sz w:val="32"/>
          <w:szCs w:val="32"/>
        </w:rPr>
      </w:pPr>
      <w:r>
        <w:rPr>
          <w:rFonts w:ascii="宋体" w:hAnsi="宋体" w:eastAsia="宋体" w:cs="宋体"/>
          <w:sz w:val="32"/>
          <w:szCs w:val="32"/>
        </w:rPr>
        <w:t>A</w:t>
      </w:r>
      <w:r>
        <w:rPr>
          <w:rFonts w:hint="eastAsia" w:ascii="宋体" w:hAnsi="宋体" w:eastAsia="宋体" w:cs="宋体"/>
          <w:sz w:val="32"/>
          <w:szCs w:val="32"/>
        </w:rPr>
        <w:t>、评选年度内所编制的具有代表性的工程造价成果文件（工程量清单、预算控制价、中标工程的投标报价、竣工结算报告（含结算书）等），所申报的成果文件应符合现行规范的要求。</w:t>
      </w:r>
    </w:p>
    <w:p>
      <w:pPr>
        <w:adjustRightInd w:val="0"/>
        <w:snapToGrid w:val="0"/>
        <w:spacing w:line="360" w:lineRule="auto"/>
        <w:ind w:firstLine="707" w:firstLineChars="221"/>
        <w:rPr>
          <w:rFonts w:ascii="宋体" w:hAnsi="宋体" w:eastAsia="宋体" w:cs="宋体"/>
          <w:sz w:val="32"/>
          <w:szCs w:val="32"/>
        </w:rPr>
      </w:pPr>
      <w:r>
        <w:rPr>
          <w:rFonts w:ascii="宋体" w:hAnsi="宋体" w:eastAsia="宋体" w:cs="宋体"/>
          <w:sz w:val="32"/>
          <w:szCs w:val="32"/>
        </w:rPr>
        <w:t>B</w:t>
      </w:r>
      <w:r>
        <w:rPr>
          <w:rFonts w:hint="eastAsia" w:ascii="宋体" w:hAnsi="宋体" w:eastAsia="宋体" w:cs="宋体"/>
          <w:sz w:val="32"/>
          <w:szCs w:val="32"/>
        </w:rPr>
        <w:t>、代表性工程造价成果文件如与他人共同完成，申报人应为该工程中承担主要工作的造价工程师。代表性工程造价成果文件应附委托单位对该造价工程师所做工作的评价。</w:t>
      </w:r>
    </w:p>
    <w:p>
      <w:pPr>
        <w:adjustRightInd w:val="0"/>
        <w:snapToGrid w:val="0"/>
        <w:spacing w:line="360" w:lineRule="auto"/>
        <w:ind w:firstLine="707" w:firstLineChars="221"/>
        <w:rPr>
          <w:rFonts w:ascii="宋体" w:hAnsi="宋体" w:eastAsia="宋体" w:cs="宋体"/>
          <w:sz w:val="32"/>
          <w:szCs w:val="32"/>
        </w:rPr>
      </w:pPr>
      <w:r>
        <w:rPr>
          <w:rFonts w:ascii="宋体" w:hAnsi="宋体" w:eastAsia="宋体" w:cs="宋体"/>
          <w:sz w:val="32"/>
          <w:szCs w:val="32"/>
        </w:rPr>
        <w:t>C</w:t>
      </w:r>
      <w:r>
        <w:rPr>
          <w:rFonts w:hint="eastAsia" w:ascii="宋体" w:hAnsi="宋体" w:eastAsia="宋体" w:cs="宋体"/>
          <w:sz w:val="32"/>
          <w:szCs w:val="32"/>
        </w:rPr>
        <w:t>、所在执业单位应就代表性工程造价成果的组织、策划、协调、控制等能力给予证明。</w:t>
      </w:r>
    </w:p>
    <w:p>
      <w:pPr>
        <w:adjustRightInd w:val="0"/>
        <w:snapToGrid w:val="0"/>
        <w:spacing w:line="360" w:lineRule="auto"/>
        <w:ind w:firstLine="640" w:firstLineChars="200"/>
        <w:rPr>
          <w:rFonts w:ascii="宋体" w:hAnsi="宋体" w:eastAsia="宋体" w:cs="宋体"/>
          <w:sz w:val="32"/>
          <w:szCs w:val="32"/>
        </w:rPr>
      </w:pPr>
      <w:r>
        <w:rPr>
          <w:rFonts w:ascii="Arial" w:hAnsi="Arial" w:cs="Arial"/>
          <w:sz w:val="32"/>
          <w:szCs w:val="32"/>
        </w:rPr>
        <w:t xml:space="preserve">7. </w:t>
      </w:r>
      <w:r>
        <w:rPr>
          <w:rFonts w:hint="eastAsia" w:ascii="宋体" w:hAnsi="宋体" w:eastAsia="宋体" w:cs="宋体"/>
          <w:sz w:val="32"/>
          <w:szCs w:val="32"/>
        </w:rPr>
        <w:t>如发表有工程造价方面的理论著述，应提供该著述。</w:t>
      </w:r>
    </w:p>
    <w:p>
      <w:pPr>
        <w:adjustRightInd w:val="0"/>
        <w:snapToGrid w:val="0"/>
        <w:spacing w:line="360" w:lineRule="auto"/>
        <w:ind w:firstLine="640" w:firstLineChars="200"/>
        <w:rPr>
          <w:rFonts w:ascii="宋体" w:hAnsi="宋体" w:eastAsia="宋体" w:cs="宋体"/>
          <w:sz w:val="32"/>
          <w:szCs w:val="32"/>
        </w:rPr>
      </w:pPr>
      <w:r>
        <w:rPr>
          <w:rFonts w:ascii="Arial" w:hAnsi="Arial" w:cs="Arial"/>
          <w:sz w:val="32"/>
          <w:szCs w:val="32"/>
        </w:rPr>
        <w:t xml:space="preserve">8. </w:t>
      </w:r>
      <w:r>
        <w:rPr>
          <w:rFonts w:hint="eastAsia" w:ascii="宋体" w:hAnsi="宋体" w:eastAsia="宋体" w:cs="宋体"/>
          <w:sz w:val="32"/>
          <w:szCs w:val="32"/>
        </w:rPr>
        <w:t>造价工程师应对评选年度所主要从事工作和先进事迹进行总结，所在执业单位应对造价工程师的工作进行评价。</w:t>
      </w:r>
    </w:p>
    <w:p>
      <w:pPr>
        <w:spacing w:line="360" w:lineRule="auto"/>
        <w:ind w:firstLine="645"/>
        <w:rPr>
          <w:rFonts w:ascii="Arial" w:hAnsi="Arial" w:cs="Arial"/>
          <w:sz w:val="32"/>
          <w:szCs w:val="32"/>
        </w:rPr>
      </w:pPr>
      <w:r>
        <w:rPr>
          <w:rFonts w:hint="eastAsia" w:ascii="Arial" w:hAnsi="Arial" w:cs="Arial"/>
          <w:sz w:val="32"/>
          <w:szCs w:val="32"/>
        </w:rPr>
        <w:t>（二）评选标准</w:t>
      </w:r>
    </w:p>
    <w:p>
      <w:pPr>
        <w:spacing w:line="360" w:lineRule="auto"/>
        <w:ind w:firstLine="645"/>
        <w:rPr>
          <w:rFonts w:ascii="Arial" w:hAnsi="Arial" w:cs="Arial"/>
          <w:sz w:val="32"/>
          <w:szCs w:val="32"/>
        </w:rPr>
      </w:pPr>
      <w:r>
        <w:rPr>
          <w:rFonts w:hint="eastAsia" w:ascii="Arial" w:hAnsi="宋体" w:cs="Arial"/>
          <w:sz w:val="32"/>
          <w:szCs w:val="32"/>
        </w:rPr>
        <w:t>按照</w:t>
      </w:r>
      <w:r>
        <w:rPr>
          <w:rFonts w:ascii="Arial" w:hAnsi="宋体" w:cs="Arial"/>
          <w:sz w:val="32"/>
          <w:szCs w:val="32"/>
        </w:rPr>
        <w:t>《</w:t>
      </w:r>
      <w:r>
        <w:rPr>
          <w:rFonts w:hint="eastAsia" w:ascii="Arial" w:hAnsi="宋体" w:cs="Arial"/>
          <w:sz w:val="32"/>
          <w:szCs w:val="32"/>
        </w:rPr>
        <w:t>内蒙古自治区</w:t>
      </w:r>
      <w:r>
        <w:rPr>
          <w:rFonts w:ascii="Arial" w:hAnsi="Arial" w:cs="Arial"/>
          <w:sz w:val="32"/>
          <w:szCs w:val="32"/>
        </w:rPr>
        <w:t>“</w:t>
      </w:r>
      <w:r>
        <w:rPr>
          <w:rFonts w:hint="eastAsia" w:ascii="宋体" w:hAnsi="宋体" w:eastAsia="宋体" w:cs="宋体"/>
          <w:sz w:val="32"/>
          <w:szCs w:val="32"/>
        </w:rPr>
        <w:t>优秀造价工程师</w:t>
      </w:r>
      <w:r>
        <w:rPr>
          <w:rFonts w:ascii="Arial" w:hAnsi="Arial" w:cs="Arial"/>
          <w:sz w:val="32"/>
          <w:szCs w:val="32"/>
        </w:rPr>
        <w:t>”</w:t>
      </w:r>
      <w:r>
        <w:rPr>
          <w:rFonts w:ascii="Arial" w:hAnsi="宋体" w:cs="Arial"/>
          <w:sz w:val="32"/>
          <w:szCs w:val="32"/>
        </w:rPr>
        <w:t>评分标准</w:t>
      </w:r>
      <w:r>
        <w:rPr>
          <w:rFonts w:hint="eastAsia" w:ascii="Arial" w:hAnsi="宋体" w:cs="Arial"/>
          <w:sz w:val="32"/>
          <w:szCs w:val="32"/>
        </w:rPr>
        <w:t>及评分办法</w:t>
      </w:r>
      <w:r>
        <w:rPr>
          <w:rFonts w:ascii="Arial" w:hAnsi="宋体" w:cs="Arial"/>
          <w:sz w:val="32"/>
          <w:szCs w:val="32"/>
        </w:rPr>
        <w:t>》</w:t>
      </w:r>
      <w:r>
        <w:rPr>
          <w:rFonts w:hint="eastAsia" w:ascii="Arial" w:hAnsi="宋体" w:cs="Arial"/>
          <w:sz w:val="32"/>
          <w:szCs w:val="32"/>
        </w:rPr>
        <w:t>执行，鼓励造价工程师创优争先，不设置获誉者名额，由评审小组表决通过。</w:t>
      </w:r>
    </w:p>
    <w:p>
      <w:pPr>
        <w:spacing w:line="360" w:lineRule="auto"/>
        <w:ind w:firstLine="645"/>
        <w:rPr>
          <w:rFonts w:ascii="Arial" w:hAnsi="Arial" w:cs="Arial"/>
          <w:sz w:val="32"/>
          <w:szCs w:val="32"/>
        </w:rPr>
      </w:pPr>
      <w:r>
        <w:rPr>
          <w:rFonts w:hint="eastAsia" w:ascii="Arial" w:hAnsi="Arial" w:cs="Arial"/>
          <w:b/>
          <w:sz w:val="32"/>
          <w:szCs w:val="32"/>
        </w:rPr>
        <w:t xml:space="preserve">第七条  </w:t>
      </w:r>
      <w:r>
        <w:rPr>
          <w:rFonts w:ascii="Arial" w:hAnsi="Arial" w:cs="Arial"/>
          <w:sz w:val="32"/>
          <w:szCs w:val="32"/>
        </w:rPr>
        <w:t>激励和约束措施</w:t>
      </w:r>
    </w:p>
    <w:p>
      <w:pPr>
        <w:spacing w:line="360" w:lineRule="auto"/>
        <w:ind w:firstLine="645"/>
        <w:rPr>
          <w:rFonts w:ascii="Arial" w:hAnsi="Arial" w:cs="Arial"/>
          <w:sz w:val="32"/>
          <w:szCs w:val="32"/>
        </w:rPr>
      </w:pPr>
      <w:r>
        <w:rPr>
          <w:rFonts w:ascii="Arial" w:hAnsi="Arial" w:cs="Arial"/>
          <w:sz w:val="32"/>
          <w:szCs w:val="32"/>
        </w:rPr>
        <w:t>对入选的</w:t>
      </w:r>
      <w:r>
        <w:rPr>
          <w:rFonts w:hint="eastAsia" w:ascii="Arial" w:hAnsi="Arial" w:cs="Arial"/>
          <w:sz w:val="32"/>
          <w:szCs w:val="32"/>
        </w:rPr>
        <w:t>内蒙古自治区</w:t>
      </w:r>
      <w:r>
        <w:rPr>
          <w:rFonts w:ascii="Arial" w:hAnsi="Arial" w:cs="Arial"/>
          <w:sz w:val="32"/>
          <w:szCs w:val="32"/>
        </w:rPr>
        <w:t>“</w:t>
      </w:r>
      <w:r>
        <w:rPr>
          <w:rFonts w:hint="eastAsia" w:ascii="Arial" w:hAnsi="Arial" w:cs="Arial"/>
          <w:sz w:val="32"/>
          <w:szCs w:val="32"/>
        </w:rPr>
        <w:t>优秀造价工程师</w:t>
      </w:r>
      <w:r>
        <w:rPr>
          <w:rFonts w:ascii="Arial" w:hAnsi="Arial" w:cs="Arial"/>
          <w:sz w:val="32"/>
          <w:szCs w:val="32"/>
        </w:rPr>
        <w:t>”实行动态</w:t>
      </w:r>
      <w:r>
        <w:rPr>
          <w:rFonts w:ascii="Arial" w:hAnsi="宋体" w:cs="Arial"/>
          <w:sz w:val="32"/>
          <w:szCs w:val="32"/>
        </w:rPr>
        <w:t>管理，对有失信行为的个人限期改正，对严重失信的撤销其荣誉称号、收回证书；对因提供虚假申报材料造成不良社会影响的，要追究当事人责任。对存在以上行为的单位</w:t>
      </w:r>
      <w:r>
        <w:rPr>
          <w:rFonts w:hint="eastAsia" w:ascii="Arial" w:hAnsi="宋体" w:cs="Arial"/>
          <w:sz w:val="32"/>
          <w:szCs w:val="32"/>
        </w:rPr>
        <w:t>及个人</w:t>
      </w:r>
      <w:r>
        <w:rPr>
          <w:rFonts w:ascii="Arial" w:hAnsi="宋体" w:cs="Arial"/>
          <w:sz w:val="32"/>
          <w:szCs w:val="32"/>
        </w:rPr>
        <w:t>将在相关媒体上公示并进行不良行为记录，且两年内不得参加自治区</w:t>
      </w:r>
      <w:r>
        <w:rPr>
          <w:rFonts w:hint="eastAsia" w:ascii="Arial" w:hAnsi="宋体" w:cs="Arial"/>
          <w:sz w:val="32"/>
          <w:szCs w:val="32"/>
        </w:rPr>
        <w:t>任何</w:t>
      </w:r>
      <w:r>
        <w:rPr>
          <w:rFonts w:ascii="Arial" w:hAnsi="宋体" w:cs="Arial"/>
          <w:sz w:val="32"/>
          <w:szCs w:val="32"/>
        </w:rPr>
        <w:t>评优活动。</w:t>
      </w:r>
    </w:p>
    <w:p>
      <w:pPr>
        <w:spacing w:line="360" w:lineRule="auto"/>
        <w:ind w:firstLine="643" w:firstLineChars="200"/>
        <w:rPr>
          <w:rFonts w:ascii="Arial" w:hAnsi="Arial" w:cs="Arial"/>
          <w:sz w:val="32"/>
          <w:szCs w:val="32"/>
        </w:rPr>
      </w:pPr>
      <w:r>
        <w:rPr>
          <w:rFonts w:hint="eastAsia" w:ascii="Arial" w:hAnsi="Arial" w:cs="Arial"/>
          <w:b/>
          <w:sz w:val="32"/>
          <w:szCs w:val="32"/>
        </w:rPr>
        <w:t xml:space="preserve">第八条  </w:t>
      </w:r>
      <w:r>
        <w:rPr>
          <w:rFonts w:ascii="Arial" w:hAnsi="Arial" w:cs="Arial"/>
          <w:sz w:val="32"/>
          <w:szCs w:val="32"/>
        </w:rPr>
        <w:t>“</w:t>
      </w:r>
      <w:r>
        <w:rPr>
          <w:rFonts w:hint="eastAsia" w:ascii="宋体" w:hAnsi="宋体" w:eastAsia="宋体" w:cs="宋体"/>
          <w:sz w:val="32"/>
          <w:szCs w:val="32"/>
        </w:rPr>
        <w:t>优秀造价工程师</w:t>
      </w:r>
      <w:r>
        <w:rPr>
          <w:rFonts w:ascii="Arial" w:hAnsi="Arial" w:cs="Arial"/>
          <w:sz w:val="32"/>
          <w:szCs w:val="32"/>
        </w:rPr>
        <w:t>”</w:t>
      </w:r>
      <w:r>
        <w:rPr>
          <w:rFonts w:ascii="Arial" w:hAnsi="宋体" w:cs="Arial"/>
          <w:sz w:val="32"/>
          <w:szCs w:val="32"/>
        </w:rPr>
        <w:t>荣誉称号有效期</w:t>
      </w:r>
      <w:r>
        <w:rPr>
          <w:rFonts w:hint="eastAsia" w:ascii="Arial" w:hAnsi="宋体" w:cs="Arial"/>
          <w:sz w:val="32"/>
          <w:szCs w:val="32"/>
        </w:rPr>
        <w:t>两</w:t>
      </w:r>
      <w:r>
        <w:rPr>
          <w:rFonts w:ascii="Arial" w:hAnsi="宋体" w:cs="Arial"/>
          <w:sz w:val="32"/>
          <w:szCs w:val="32"/>
        </w:rPr>
        <w:t>年，有效期届满，其荣誉称号将自动失效。</w:t>
      </w:r>
    </w:p>
    <w:p>
      <w:pPr>
        <w:adjustRightInd w:val="0"/>
        <w:snapToGrid w:val="0"/>
        <w:spacing w:line="360" w:lineRule="auto"/>
        <w:ind w:firstLine="643" w:firstLineChars="200"/>
        <w:rPr>
          <w:rFonts w:ascii="宋体" w:hAnsi="宋体" w:eastAsia="宋体" w:cs="宋体"/>
          <w:sz w:val="32"/>
          <w:szCs w:val="32"/>
        </w:rPr>
      </w:pPr>
      <w:r>
        <w:rPr>
          <w:rFonts w:hint="eastAsia" w:ascii="宋体" w:hAnsi="宋体" w:eastAsia="宋体" w:cs="宋体"/>
          <w:b/>
          <w:sz w:val="32"/>
          <w:szCs w:val="32"/>
        </w:rPr>
        <w:t xml:space="preserve">第九条  </w:t>
      </w:r>
      <w:r>
        <w:rPr>
          <w:rFonts w:hint="eastAsia" w:ascii="宋体" w:hAnsi="宋体" w:eastAsia="宋体" w:cs="宋体"/>
          <w:sz w:val="32"/>
          <w:szCs w:val="32"/>
        </w:rPr>
        <w:t>本办法由内蒙古自治区工程建设协会负责解释。</w:t>
      </w:r>
    </w:p>
    <w:p>
      <w:pPr>
        <w:widowControl/>
        <w:rPr>
          <w:rFonts w:ascii="宋体" w:hAnsi="宋体" w:eastAsia="宋体" w:cs="宋体"/>
          <w:sz w:val="24"/>
        </w:rPr>
      </w:pPr>
      <w:r>
        <w:rPr>
          <w:rFonts w:ascii="宋体" w:hAnsi="宋体" w:eastAsia="宋体" w:cs="宋体"/>
          <w:sz w:val="24"/>
        </w:rPr>
        <w:br w:type="page"/>
      </w:r>
    </w:p>
    <w:p>
      <w:pPr>
        <w:adjustRightInd w:val="0"/>
        <w:snapToGrid w:val="0"/>
        <w:spacing w:line="360" w:lineRule="auto"/>
        <w:rPr>
          <w:rFonts w:ascii="宋体" w:hAnsi="宋体" w:eastAsia="宋体" w:cs="宋体"/>
          <w:sz w:val="28"/>
          <w:szCs w:val="28"/>
        </w:rPr>
      </w:pPr>
      <w:r>
        <w:rPr>
          <w:rFonts w:hint="eastAsia" w:ascii="宋体" w:hAnsi="宋体" w:eastAsia="宋体" w:cs="宋体"/>
          <w:sz w:val="28"/>
          <w:szCs w:val="28"/>
        </w:rPr>
        <w:t>附件1</w:t>
      </w:r>
    </w:p>
    <w:p>
      <w:pPr>
        <w:widowControl/>
        <w:jc w:val="center"/>
        <w:rPr>
          <w:rFonts w:ascii="宋体" w:hAnsi="宋体" w:eastAsia="宋体" w:cs="宋体"/>
          <w:b/>
          <w:color w:val="000000"/>
          <w:kern w:val="0"/>
          <w:sz w:val="32"/>
          <w:szCs w:val="36"/>
        </w:rPr>
      </w:pPr>
      <w:r>
        <w:rPr>
          <w:rFonts w:hint="eastAsia" w:ascii="宋体" w:hAnsi="宋体" w:eastAsia="宋体" w:cs="宋体"/>
          <w:b/>
          <w:color w:val="000000"/>
          <w:kern w:val="0"/>
          <w:sz w:val="32"/>
          <w:szCs w:val="36"/>
        </w:rPr>
        <w:t>内蒙古自治区“</w:t>
      </w:r>
      <w:r>
        <w:rPr>
          <w:rFonts w:ascii="宋体" w:hAnsi="宋体" w:eastAsia="宋体" w:cs="宋体"/>
          <w:b/>
          <w:color w:val="000000"/>
          <w:kern w:val="0"/>
          <w:sz w:val="32"/>
          <w:szCs w:val="36"/>
        </w:rPr>
        <w:t>优秀造价工程师</w:t>
      </w:r>
      <w:r>
        <w:rPr>
          <w:rFonts w:hint="eastAsia" w:ascii="宋体" w:hAnsi="宋体" w:eastAsia="宋体" w:cs="宋体"/>
          <w:b/>
          <w:color w:val="000000"/>
          <w:kern w:val="0"/>
          <w:sz w:val="32"/>
          <w:szCs w:val="36"/>
        </w:rPr>
        <w:t>”评选</w:t>
      </w:r>
      <w:r>
        <w:rPr>
          <w:rFonts w:ascii="宋体" w:hAnsi="宋体" w:eastAsia="宋体" w:cs="宋体"/>
          <w:b/>
          <w:color w:val="000000"/>
          <w:kern w:val="0"/>
          <w:sz w:val="32"/>
          <w:szCs w:val="36"/>
        </w:rPr>
        <w:t>申报表</w:t>
      </w:r>
    </w:p>
    <w:p>
      <w:pPr>
        <w:widowControl/>
        <w:spacing w:line="315" w:lineRule="atLeast"/>
        <w:rPr>
          <w:rFonts w:ascii="黑体" w:eastAsia="黑体" w:cs="黑体"/>
          <w:color w:val="000000"/>
          <w:kern w:val="0"/>
          <w:sz w:val="24"/>
        </w:rPr>
      </w:pPr>
    </w:p>
    <w:tbl>
      <w:tblPr>
        <w:tblStyle w:val="7"/>
        <w:tblW w:w="85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02"/>
        <w:gridCol w:w="1004"/>
        <w:gridCol w:w="483"/>
        <w:gridCol w:w="535"/>
        <w:gridCol w:w="882"/>
        <w:gridCol w:w="1144"/>
        <w:gridCol w:w="1124"/>
        <w:gridCol w:w="21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3" w:hRule="atLeast"/>
        </w:trPr>
        <w:tc>
          <w:tcPr>
            <w:tcW w:w="1202" w:type="dxa"/>
            <w:shd w:val="clear" w:color="auto" w:fill="auto"/>
            <w:vAlign w:val="center"/>
          </w:tcPr>
          <w:p>
            <w:pPr>
              <w:widowControl/>
              <w:spacing w:line="270" w:lineRule="atLeast"/>
              <w:jc w:val="center"/>
              <w:rPr>
                <w:rFonts w:ascii="宋体" w:hAnsi="宋体" w:eastAsia="宋体" w:cs="宋体"/>
                <w:szCs w:val="21"/>
              </w:rPr>
            </w:pPr>
            <w:r>
              <w:rPr>
                <w:rFonts w:hint="eastAsia" w:ascii="宋体" w:hAnsi="宋体" w:eastAsia="宋体" w:cs="宋体"/>
                <w:color w:val="000000"/>
                <w:kern w:val="0"/>
                <w:szCs w:val="21"/>
              </w:rPr>
              <w:t>姓  名</w:t>
            </w:r>
          </w:p>
        </w:tc>
        <w:tc>
          <w:tcPr>
            <w:tcW w:w="1004" w:type="dxa"/>
            <w:shd w:val="clear" w:color="auto" w:fill="auto"/>
            <w:vAlign w:val="center"/>
          </w:tcPr>
          <w:p>
            <w:pPr>
              <w:widowControl/>
              <w:spacing w:line="270" w:lineRule="atLeast"/>
              <w:jc w:val="center"/>
              <w:rPr>
                <w:rFonts w:ascii="宋体" w:hAnsi="宋体" w:eastAsia="宋体" w:cs="宋体"/>
                <w:szCs w:val="21"/>
              </w:rPr>
            </w:pPr>
          </w:p>
        </w:tc>
        <w:tc>
          <w:tcPr>
            <w:tcW w:w="1018" w:type="dxa"/>
            <w:gridSpan w:val="2"/>
            <w:shd w:val="clear" w:color="auto" w:fill="auto"/>
            <w:vAlign w:val="center"/>
          </w:tcPr>
          <w:p>
            <w:pPr>
              <w:widowControl/>
              <w:spacing w:line="270" w:lineRule="atLeast"/>
              <w:jc w:val="center"/>
              <w:rPr>
                <w:rFonts w:ascii="宋体" w:hAnsi="宋体" w:eastAsia="宋体" w:cs="宋体"/>
                <w:szCs w:val="21"/>
              </w:rPr>
            </w:pPr>
            <w:r>
              <w:rPr>
                <w:rFonts w:hint="eastAsia" w:ascii="宋体" w:hAnsi="宋体" w:eastAsia="宋体" w:cs="宋体"/>
                <w:color w:val="000000"/>
                <w:kern w:val="0"/>
                <w:szCs w:val="21"/>
              </w:rPr>
              <w:t>性  别</w:t>
            </w:r>
          </w:p>
        </w:tc>
        <w:tc>
          <w:tcPr>
            <w:tcW w:w="882" w:type="dxa"/>
            <w:shd w:val="clear" w:color="auto" w:fill="auto"/>
            <w:vAlign w:val="center"/>
          </w:tcPr>
          <w:p>
            <w:pPr>
              <w:widowControl/>
              <w:spacing w:line="270" w:lineRule="atLeast"/>
              <w:jc w:val="center"/>
              <w:rPr>
                <w:rFonts w:ascii="宋体" w:hAnsi="宋体" w:eastAsia="宋体" w:cs="宋体"/>
                <w:szCs w:val="21"/>
              </w:rPr>
            </w:pPr>
          </w:p>
        </w:tc>
        <w:tc>
          <w:tcPr>
            <w:tcW w:w="1144" w:type="dxa"/>
            <w:shd w:val="clear" w:color="auto" w:fill="auto"/>
            <w:vAlign w:val="center"/>
          </w:tcPr>
          <w:p>
            <w:pPr>
              <w:widowControl/>
              <w:spacing w:line="270" w:lineRule="atLeast"/>
              <w:jc w:val="center"/>
              <w:rPr>
                <w:rFonts w:ascii="宋体" w:hAnsi="宋体" w:eastAsia="宋体" w:cs="宋体"/>
                <w:szCs w:val="21"/>
              </w:rPr>
            </w:pPr>
            <w:r>
              <w:rPr>
                <w:rFonts w:hint="eastAsia" w:ascii="宋体" w:hAnsi="宋体" w:eastAsia="宋体" w:cs="宋体"/>
                <w:color w:val="000000"/>
                <w:kern w:val="0"/>
                <w:szCs w:val="21"/>
              </w:rPr>
              <w:t>年  龄</w:t>
            </w:r>
          </w:p>
        </w:tc>
        <w:tc>
          <w:tcPr>
            <w:tcW w:w="1124" w:type="dxa"/>
            <w:shd w:val="clear" w:color="auto" w:fill="auto"/>
            <w:vAlign w:val="center"/>
          </w:tcPr>
          <w:p>
            <w:pPr>
              <w:widowControl/>
              <w:spacing w:line="270" w:lineRule="atLeast"/>
              <w:jc w:val="center"/>
              <w:rPr>
                <w:rFonts w:ascii="宋体" w:hAnsi="宋体" w:eastAsia="宋体" w:cs="宋体"/>
                <w:szCs w:val="21"/>
              </w:rPr>
            </w:pPr>
          </w:p>
        </w:tc>
        <w:tc>
          <w:tcPr>
            <w:tcW w:w="2189" w:type="dxa"/>
            <w:vMerge w:val="restart"/>
            <w:shd w:val="clear" w:color="auto" w:fill="auto"/>
            <w:vAlign w:val="center"/>
          </w:tcPr>
          <w:p>
            <w:pPr>
              <w:widowControl/>
              <w:spacing w:line="270" w:lineRule="atLeast"/>
              <w:jc w:val="center"/>
              <w:rPr>
                <w:rFonts w:ascii="宋体" w:hAnsi="宋体" w:eastAsia="宋体" w:cs="宋体"/>
                <w:szCs w:val="21"/>
              </w:rPr>
            </w:pPr>
            <w:r>
              <w:rPr>
                <w:rFonts w:hint="eastAsia" w:ascii="宋体" w:hAnsi="宋体" w:eastAsia="宋体" w:cs="宋体"/>
                <w:color w:val="000000"/>
                <w:kern w:val="0"/>
                <w:szCs w:val="21"/>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3" w:hRule="atLeast"/>
        </w:trPr>
        <w:tc>
          <w:tcPr>
            <w:tcW w:w="1202" w:type="dxa"/>
            <w:shd w:val="clear" w:color="auto" w:fill="auto"/>
            <w:vAlign w:val="center"/>
          </w:tcPr>
          <w:p>
            <w:pPr>
              <w:widowControl/>
              <w:spacing w:line="270" w:lineRule="atLeast"/>
              <w:jc w:val="center"/>
              <w:rPr>
                <w:rFonts w:ascii="宋体" w:hAnsi="宋体" w:eastAsia="宋体" w:cs="宋体"/>
                <w:color w:val="000000"/>
                <w:kern w:val="0"/>
                <w:szCs w:val="21"/>
              </w:rPr>
            </w:pPr>
            <w:r>
              <w:rPr>
                <w:rFonts w:hint="eastAsia" w:ascii="宋体" w:hAnsi="宋体" w:eastAsia="宋体" w:cs="宋体"/>
                <w:color w:val="000000"/>
                <w:kern w:val="0"/>
                <w:szCs w:val="21"/>
              </w:rPr>
              <w:t>单位名称</w:t>
            </w:r>
          </w:p>
        </w:tc>
        <w:tc>
          <w:tcPr>
            <w:tcW w:w="2904" w:type="dxa"/>
            <w:gridSpan w:val="4"/>
            <w:shd w:val="clear" w:color="auto" w:fill="auto"/>
            <w:vAlign w:val="center"/>
          </w:tcPr>
          <w:p>
            <w:pPr>
              <w:widowControl/>
              <w:spacing w:line="270" w:lineRule="atLeast"/>
              <w:jc w:val="center"/>
              <w:rPr>
                <w:rFonts w:ascii="宋体" w:hAnsi="宋体" w:eastAsia="宋体" w:cs="宋体"/>
                <w:color w:val="000000"/>
                <w:kern w:val="0"/>
                <w:szCs w:val="21"/>
              </w:rPr>
            </w:pPr>
          </w:p>
        </w:tc>
        <w:tc>
          <w:tcPr>
            <w:tcW w:w="1144" w:type="dxa"/>
            <w:shd w:val="clear" w:color="auto" w:fill="auto"/>
            <w:vAlign w:val="center"/>
          </w:tcPr>
          <w:p>
            <w:pPr>
              <w:widowControl/>
              <w:spacing w:line="270" w:lineRule="atLeast"/>
              <w:jc w:val="center"/>
              <w:rPr>
                <w:rFonts w:ascii="宋体" w:hAnsi="宋体" w:eastAsia="宋体" w:cs="宋体"/>
                <w:color w:val="000000"/>
                <w:kern w:val="0"/>
                <w:szCs w:val="21"/>
              </w:rPr>
            </w:pPr>
            <w:r>
              <w:rPr>
                <w:rFonts w:hint="eastAsia" w:ascii="宋体" w:hAnsi="宋体" w:eastAsia="宋体" w:cs="宋体"/>
                <w:color w:val="000000"/>
                <w:kern w:val="0"/>
                <w:szCs w:val="21"/>
              </w:rPr>
              <w:t>职  务</w:t>
            </w:r>
          </w:p>
        </w:tc>
        <w:tc>
          <w:tcPr>
            <w:tcW w:w="1124" w:type="dxa"/>
            <w:shd w:val="clear" w:color="auto" w:fill="auto"/>
            <w:vAlign w:val="center"/>
          </w:tcPr>
          <w:p>
            <w:pPr>
              <w:widowControl/>
              <w:spacing w:line="270" w:lineRule="atLeast"/>
              <w:jc w:val="center"/>
              <w:rPr>
                <w:rFonts w:ascii="宋体" w:hAnsi="宋体" w:eastAsia="宋体" w:cs="宋体"/>
                <w:color w:val="000000"/>
                <w:kern w:val="0"/>
                <w:szCs w:val="21"/>
              </w:rPr>
            </w:pPr>
          </w:p>
        </w:tc>
        <w:tc>
          <w:tcPr>
            <w:tcW w:w="2189" w:type="dxa"/>
            <w:vMerge w:val="continue"/>
            <w:shd w:val="clear" w:color="auto" w:fill="auto"/>
            <w:vAlign w:val="center"/>
          </w:tcPr>
          <w:p>
            <w:pPr>
              <w:spacing w:line="270" w:lineRule="atLeast"/>
              <w:jc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3" w:hRule="atLeast"/>
        </w:trPr>
        <w:tc>
          <w:tcPr>
            <w:tcW w:w="1202" w:type="dxa"/>
            <w:shd w:val="clear" w:color="auto" w:fill="auto"/>
            <w:vAlign w:val="center"/>
          </w:tcPr>
          <w:p>
            <w:pPr>
              <w:widowControl/>
              <w:spacing w:line="270" w:lineRule="atLeast"/>
              <w:jc w:val="center"/>
              <w:rPr>
                <w:rFonts w:ascii="宋体" w:hAnsi="宋体" w:eastAsia="宋体" w:cs="宋体"/>
                <w:szCs w:val="21"/>
              </w:rPr>
            </w:pPr>
            <w:r>
              <w:rPr>
                <w:rFonts w:hint="eastAsia" w:ascii="宋体" w:hAnsi="宋体" w:eastAsia="宋体" w:cs="宋体"/>
                <w:color w:val="000000"/>
                <w:kern w:val="0"/>
                <w:szCs w:val="21"/>
              </w:rPr>
              <w:t>职  称</w:t>
            </w:r>
          </w:p>
        </w:tc>
        <w:tc>
          <w:tcPr>
            <w:tcW w:w="2904" w:type="dxa"/>
            <w:gridSpan w:val="4"/>
            <w:shd w:val="clear" w:color="auto" w:fill="auto"/>
            <w:vAlign w:val="center"/>
          </w:tcPr>
          <w:p>
            <w:pPr>
              <w:widowControl/>
              <w:spacing w:line="270" w:lineRule="atLeast"/>
              <w:jc w:val="center"/>
              <w:rPr>
                <w:rFonts w:ascii="宋体" w:hAnsi="宋体" w:eastAsia="宋体" w:cs="宋体"/>
                <w:szCs w:val="21"/>
              </w:rPr>
            </w:pPr>
          </w:p>
        </w:tc>
        <w:tc>
          <w:tcPr>
            <w:tcW w:w="1144" w:type="dxa"/>
            <w:shd w:val="clear" w:color="auto" w:fill="auto"/>
            <w:vAlign w:val="center"/>
          </w:tcPr>
          <w:p>
            <w:pPr>
              <w:widowControl/>
              <w:spacing w:line="270" w:lineRule="atLeast"/>
              <w:jc w:val="center"/>
              <w:rPr>
                <w:rFonts w:ascii="宋体" w:hAnsi="宋体" w:eastAsia="宋体" w:cs="宋体"/>
                <w:szCs w:val="21"/>
              </w:rPr>
            </w:pPr>
            <w:r>
              <w:rPr>
                <w:rFonts w:hint="eastAsia" w:ascii="宋体" w:hAnsi="宋体" w:eastAsia="宋体" w:cs="宋体"/>
                <w:color w:val="000000"/>
                <w:kern w:val="0"/>
                <w:szCs w:val="21"/>
              </w:rPr>
              <w:t>学  历</w:t>
            </w:r>
          </w:p>
        </w:tc>
        <w:tc>
          <w:tcPr>
            <w:tcW w:w="1124" w:type="dxa"/>
            <w:shd w:val="clear" w:color="auto" w:fill="auto"/>
            <w:vAlign w:val="center"/>
          </w:tcPr>
          <w:p>
            <w:pPr>
              <w:widowControl/>
              <w:spacing w:line="270" w:lineRule="atLeast"/>
              <w:jc w:val="center"/>
              <w:rPr>
                <w:rFonts w:ascii="宋体" w:hAnsi="宋体" w:eastAsia="宋体" w:cs="宋体"/>
                <w:szCs w:val="21"/>
              </w:rPr>
            </w:pPr>
          </w:p>
        </w:tc>
        <w:tc>
          <w:tcPr>
            <w:tcW w:w="2189" w:type="dxa"/>
            <w:vMerge w:val="continue"/>
            <w:shd w:val="clear" w:color="auto" w:fill="auto"/>
            <w:vAlign w:val="center"/>
          </w:tcPr>
          <w:p>
            <w:pPr>
              <w:spacing w:line="270" w:lineRule="atLeas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3" w:hRule="atLeast"/>
        </w:trPr>
        <w:tc>
          <w:tcPr>
            <w:tcW w:w="1202" w:type="dxa"/>
            <w:shd w:val="clear" w:color="auto" w:fill="auto"/>
            <w:vAlign w:val="center"/>
          </w:tcPr>
          <w:p>
            <w:pPr>
              <w:widowControl/>
              <w:spacing w:line="270" w:lineRule="atLeast"/>
              <w:jc w:val="center"/>
              <w:rPr>
                <w:rFonts w:ascii="宋体" w:hAnsi="宋体" w:eastAsia="宋体" w:cs="宋体"/>
                <w:szCs w:val="21"/>
              </w:rPr>
            </w:pPr>
            <w:r>
              <w:rPr>
                <w:rFonts w:hint="eastAsia" w:ascii="宋体" w:hAnsi="宋体" w:eastAsia="宋体" w:cs="宋体"/>
                <w:color w:val="000000"/>
                <w:kern w:val="0"/>
                <w:szCs w:val="21"/>
              </w:rPr>
              <w:t>执业年限</w:t>
            </w:r>
          </w:p>
        </w:tc>
        <w:tc>
          <w:tcPr>
            <w:tcW w:w="1487" w:type="dxa"/>
            <w:gridSpan w:val="2"/>
            <w:shd w:val="clear" w:color="auto" w:fill="auto"/>
            <w:vAlign w:val="center"/>
          </w:tcPr>
          <w:p>
            <w:pPr>
              <w:widowControl/>
              <w:spacing w:line="270" w:lineRule="atLeast"/>
              <w:jc w:val="center"/>
              <w:rPr>
                <w:rFonts w:ascii="宋体" w:hAnsi="宋体" w:eastAsia="宋体" w:cs="宋体"/>
                <w:szCs w:val="21"/>
              </w:rPr>
            </w:pPr>
          </w:p>
        </w:tc>
        <w:tc>
          <w:tcPr>
            <w:tcW w:w="1417" w:type="dxa"/>
            <w:gridSpan w:val="2"/>
            <w:shd w:val="clear" w:color="auto" w:fill="auto"/>
            <w:vAlign w:val="center"/>
          </w:tcPr>
          <w:p>
            <w:pPr>
              <w:widowControl/>
              <w:spacing w:line="270" w:lineRule="atLeast"/>
              <w:jc w:val="center"/>
              <w:rPr>
                <w:rFonts w:ascii="宋体" w:hAnsi="宋体" w:eastAsia="宋体" w:cs="宋体"/>
                <w:szCs w:val="21"/>
              </w:rPr>
            </w:pPr>
            <w:r>
              <w:rPr>
                <w:rFonts w:hint="eastAsia" w:ascii="宋体" w:hAnsi="宋体" w:eastAsia="宋体" w:cs="宋体"/>
                <w:color w:val="000000"/>
                <w:kern w:val="0"/>
                <w:szCs w:val="21"/>
              </w:rPr>
              <w:t>注册证号</w:t>
            </w:r>
          </w:p>
        </w:tc>
        <w:tc>
          <w:tcPr>
            <w:tcW w:w="2268" w:type="dxa"/>
            <w:gridSpan w:val="2"/>
            <w:shd w:val="clear" w:color="auto" w:fill="auto"/>
            <w:vAlign w:val="center"/>
          </w:tcPr>
          <w:p>
            <w:pPr>
              <w:widowControl/>
              <w:spacing w:line="270" w:lineRule="atLeast"/>
              <w:jc w:val="center"/>
              <w:rPr>
                <w:rFonts w:ascii="宋体" w:hAnsi="宋体" w:eastAsia="宋体" w:cs="宋体"/>
                <w:szCs w:val="21"/>
              </w:rPr>
            </w:pPr>
          </w:p>
        </w:tc>
        <w:tc>
          <w:tcPr>
            <w:tcW w:w="2189" w:type="dxa"/>
            <w:vMerge w:val="continue"/>
            <w:shd w:val="clear" w:color="auto" w:fill="auto"/>
            <w:vAlign w:val="center"/>
          </w:tcPr>
          <w:p>
            <w:pPr>
              <w:spacing w:line="270" w:lineRule="atLeas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3" w:hRule="atLeast"/>
        </w:trPr>
        <w:tc>
          <w:tcPr>
            <w:tcW w:w="1202" w:type="dxa"/>
            <w:shd w:val="clear" w:color="auto" w:fill="auto"/>
            <w:vAlign w:val="center"/>
          </w:tcPr>
          <w:p>
            <w:pPr>
              <w:widowControl/>
              <w:spacing w:line="270" w:lineRule="atLeast"/>
              <w:jc w:val="center"/>
              <w:rPr>
                <w:rFonts w:ascii="宋体" w:hAnsi="宋体" w:eastAsia="宋体" w:cs="宋体"/>
                <w:szCs w:val="21"/>
              </w:rPr>
            </w:pPr>
            <w:r>
              <w:rPr>
                <w:rFonts w:hint="eastAsia" w:ascii="宋体" w:hAnsi="宋体" w:eastAsia="宋体" w:cs="宋体"/>
                <w:color w:val="000000"/>
                <w:kern w:val="0"/>
                <w:szCs w:val="21"/>
              </w:rPr>
              <w:t>通讯地址</w:t>
            </w:r>
          </w:p>
        </w:tc>
        <w:tc>
          <w:tcPr>
            <w:tcW w:w="5172" w:type="dxa"/>
            <w:gridSpan w:val="6"/>
            <w:shd w:val="clear" w:color="auto" w:fill="auto"/>
            <w:vAlign w:val="center"/>
          </w:tcPr>
          <w:p>
            <w:pPr>
              <w:widowControl/>
              <w:spacing w:line="270" w:lineRule="atLeast"/>
              <w:jc w:val="center"/>
              <w:rPr>
                <w:rFonts w:ascii="宋体" w:hAnsi="宋体" w:eastAsia="宋体" w:cs="宋体"/>
                <w:szCs w:val="21"/>
              </w:rPr>
            </w:pPr>
          </w:p>
        </w:tc>
        <w:tc>
          <w:tcPr>
            <w:tcW w:w="2189" w:type="dxa"/>
            <w:vMerge w:val="continue"/>
            <w:shd w:val="clear" w:color="auto" w:fill="auto"/>
            <w:vAlign w:val="center"/>
          </w:tcPr>
          <w:p>
            <w:pPr>
              <w:widowControl/>
              <w:spacing w:line="270" w:lineRule="atLeas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3" w:hRule="atLeast"/>
        </w:trPr>
        <w:tc>
          <w:tcPr>
            <w:tcW w:w="1202" w:type="dxa"/>
            <w:shd w:val="clear" w:color="auto" w:fill="auto"/>
            <w:vAlign w:val="center"/>
          </w:tcPr>
          <w:p>
            <w:pPr>
              <w:widowControl/>
              <w:spacing w:line="270" w:lineRule="atLeast"/>
              <w:jc w:val="center"/>
              <w:rPr>
                <w:rFonts w:ascii="宋体" w:hAnsi="宋体" w:eastAsia="宋体" w:cs="宋体"/>
                <w:color w:val="000000"/>
                <w:kern w:val="0"/>
                <w:szCs w:val="21"/>
              </w:rPr>
            </w:pPr>
            <w:r>
              <w:rPr>
                <w:rFonts w:hint="eastAsia" w:ascii="宋体" w:hAnsi="宋体" w:eastAsia="宋体" w:cs="宋体"/>
                <w:color w:val="000000"/>
                <w:kern w:val="0"/>
                <w:szCs w:val="21"/>
              </w:rPr>
              <w:t>邮政编码</w:t>
            </w:r>
          </w:p>
        </w:tc>
        <w:tc>
          <w:tcPr>
            <w:tcW w:w="1487" w:type="dxa"/>
            <w:gridSpan w:val="2"/>
            <w:shd w:val="clear" w:color="auto" w:fill="auto"/>
            <w:vAlign w:val="center"/>
          </w:tcPr>
          <w:p>
            <w:pPr>
              <w:widowControl/>
              <w:spacing w:line="270" w:lineRule="atLeast"/>
              <w:jc w:val="center"/>
              <w:rPr>
                <w:rFonts w:ascii="宋体" w:hAnsi="宋体" w:eastAsia="宋体" w:cs="宋体"/>
                <w:color w:val="000000"/>
                <w:kern w:val="0"/>
                <w:szCs w:val="21"/>
              </w:rPr>
            </w:pPr>
          </w:p>
        </w:tc>
        <w:tc>
          <w:tcPr>
            <w:tcW w:w="1417" w:type="dxa"/>
            <w:gridSpan w:val="2"/>
            <w:shd w:val="clear" w:color="auto" w:fill="auto"/>
            <w:vAlign w:val="center"/>
          </w:tcPr>
          <w:p>
            <w:pPr>
              <w:widowControl/>
              <w:spacing w:line="270" w:lineRule="atLeast"/>
              <w:jc w:val="center"/>
              <w:rPr>
                <w:rFonts w:ascii="宋体" w:hAnsi="宋体" w:eastAsia="宋体" w:cs="宋体"/>
                <w:szCs w:val="21"/>
              </w:rPr>
            </w:pPr>
            <w:r>
              <w:rPr>
                <w:rFonts w:hint="eastAsia" w:ascii="宋体" w:hAnsi="宋体" w:eastAsia="宋体" w:cs="宋体"/>
                <w:color w:val="000000"/>
                <w:kern w:val="0"/>
                <w:szCs w:val="21"/>
              </w:rPr>
              <w:t>电  话</w:t>
            </w:r>
          </w:p>
        </w:tc>
        <w:tc>
          <w:tcPr>
            <w:tcW w:w="2268" w:type="dxa"/>
            <w:gridSpan w:val="2"/>
            <w:shd w:val="clear" w:color="auto" w:fill="auto"/>
            <w:vAlign w:val="center"/>
          </w:tcPr>
          <w:p>
            <w:pPr>
              <w:widowControl/>
              <w:spacing w:line="270" w:lineRule="atLeast"/>
              <w:jc w:val="center"/>
              <w:rPr>
                <w:rFonts w:ascii="宋体" w:hAnsi="宋体" w:eastAsia="宋体" w:cs="宋体"/>
                <w:color w:val="000000"/>
                <w:kern w:val="0"/>
                <w:szCs w:val="21"/>
              </w:rPr>
            </w:pPr>
          </w:p>
        </w:tc>
        <w:tc>
          <w:tcPr>
            <w:tcW w:w="2189" w:type="dxa"/>
            <w:vMerge w:val="continue"/>
            <w:shd w:val="clear" w:color="auto" w:fill="auto"/>
            <w:vAlign w:val="center"/>
          </w:tcPr>
          <w:p>
            <w:pPr>
              <w:widowControl/>
              <w:spacing w:line="270" w:lineRule="atLeas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5" w:hRule="atLeast"/>
        </w:trPr>
        <w:tc>
          <w:tcPr>
            <w:tcW w:w="2689" w:type="dxa"/>
            <w:gridSpan w:val="3"/>
            <w:shd w:val="clear" w:color="auto" w:fill="auto"/>
            <w:vAlign w:val="center"/>
          </w:tcPr>
          <w:p>
            <w:pPr>
              <w:widowControl/>
              <w:spacing w:line="270" w:lineRule="atLeast"/>
              <w:jc w:val="center"/>
              <w:rPr>
                <w:rFonts w:ascii="宋体" w:hAnsi="宋体" w:eastAsia="宋体" w:cs="宋体"/>
                <w:szCs w:val="21"/>
              </w:rPr>
            </w:pPr>
            <w:r>
              <w:rPr>
                <w:rFonts w:hint="eastAsia" w:ascii="宋体" w:hAnsi="宋体" w:eastAsia="宋体" w:cs="宋体"/>
                <w:color w:val="000000"/>
                <w:kern w:val="0"/>
                <w:szCs w:val="21"/>
              </w:rPr>
              <w:t>从事工程造价工作年限</w:t>
            </w:r>
          </w:p>
        </w:tc>
        <w:tc>
          <w:tcPr>
            <w:tcW w:w="1417" w:type="dxa"/>
            <w:gridSpan w:val="2"/>
            <w:shd w:val="clear" w:color="auto" w:fill="auto"/>
            <w:vAlign w:val="center"/>
          </w:tcPr>
          <w:p>
            <w:pPr>
              <w:widowControl/>
              <w:spacing w:line="270" w:lineRule="atLeast"/>
              <w:jc w:val="center"/>
              <w:rPr>
                <w:rFonts w:ascii="宋体" w:hAnsi="宋体" w:eastAsia="宋体" w:cs="宋体"/>
                <w:szCs w:val="21"/>
              </w:rPr>
            </w:pPr>
          </w:p>
        </w:tc>
        <w:tc>
          <w:tcPr>
            <w:tcW w:w="2268" w:type="dxa"/>
            <w:gridSpan w:val="2"/>
            <w:shd w:val="clear" w:color="auto" w:fill="auto"/>
            <w:vAlign w:val="center"/>
          </w:tcPr>
          <w:p>
            <w:pPr>
              <w:widowControl/>
              <w:spacing w:line="270" w:lineRule="atLeast"/>
              <w:jc w:val="center"/>
              <w:rPr>
                <w:rFonts w:ascii="宋体" w:hAnsi="宋体" w:eastAsia="宋体" w:cs="宋体"/>
                <w:color w:val="000000"/>
                <w:kern w:val="0"/>
                <w:szCs w:val="21"/>
              </w:rPr>
            </w:pPr>
            <w:r>
              <w:rPr>
                <w:rFonts w:hint="eastAsia" w:ascii="宋体" w:hAnsi="宋体" w:eastAsia="宋体" w:cs="宋体"/>
                <w:color w:val="000000"/>
                <w:kern w:val="0"/>
                <w:szCs w:val="21"/>
              </w:rPr>
              <w:t>其中在本企业</w:t>
            </w:r>
          </w:p>
          <w:p>
            <w:pPr>
              <w:widowControl/>
              <w:spacing w:line="270" w:lineRule="atLeast"/>
              <w:jc w:val="center"/>
              <w:rPr>
                <w:rFonts w:ascii="宋体" w:hAnsi="宋体" w:eastAsia="宋体" w:cs="宋体"/>
                <w:szCs w:val="21"/>
              </w:rPr>
            </w:pPr>
            <w:r>
              <w:rPr>
                <w:rFonts w:hint="eastAsia" w:ascii="宋体" w:hAnsi="宋体" w:eastAsia="宋体" w:cs="宋体"/>
                <w:color w:val="000000"/>
                <w:kern w:val="0"/>
                <w:szCs w:val="21"/>
              </w:rPr>
              <w:t>从业时间</w:t>
            </w:r>
          </w:p>
        </w:tc>
        <w:tc>
          <w:tcPr>
            <w:tcW w:w="2189" w:type="dxa"/>
            <w:shd w:val="clear" w:color="auto" w:fill="auto"/>
            <w:vAlign w:val="center"/>
          </w:tcPr>
          <w:p>
            <w:pPr>
              <w:widowControl/>
              <w:spacing w:line="270" w:lineRule="atLeas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48" w:hRule="atLeast"/>
        </w:trPr>
        <w:tc>
          <w:tcPr>
            <w:tcW w:w="1202" w:type="dxa"/>
            <w:shd w:val="clear" w:color="auto" w:fill="auto"/>
            <w:vAlign w:val="center"/>
          </w:tcPr>
          <w:p>
            <w:pPr>
              <w:widowControl/>
              <w:spacing w:line="270" w:lineRule="atLeast"/>
              <w:jc w:val="center"/>
              <w:rPr>
                <w:rFonts w:ascii="宋体" w:hAnsi="宋体" w:eastAsia="宋体" w:cs="宋体"/>
                <w:color w:val="000000"/>
                <w:kern w:val="0"/>
                <w:szCs w:val="21"/>
              </w:rPr>
            </w:pPr>
            <w:r>
              <w:rPr>
                <w:rFonts w:hint="eastAsia" w:ascii="宋体" w:hAnsi="宋体" w:eastAsia="宋体" w:cs="宋体"/>
                <w:color w:val="000000"/>
                <w:kern w:val="0"/>
                <w:szCs w:val="21"/>
              </w:rPr>
              <w:t>评选年度</w:t>
            </w:r>
          </w:p>
          <w:p>
            <w:pPr>
              <w:widowControl/>
              <w:spacing w:line="270" w:lineRule="atLeast"/>
              <w:jc w:val="center"/>
              <w:rPr>
                <w:rFonts w:ascii="宋体" w:hAnsi="宋体" w:eastAsia="宋体" w:cs="宋体"/>
                <w:color w:val="000000"/>
                <w:kern w:val="0"/>
                <w:szCs w:val="21"/>
              </w:rPr>
            </w:pPr>
            <w:r>
              <w:rPr>
                <w:rFonts w:hint="eastAsia" w:ascii="宋体" w:hAnsi="宋体" w:eastAsia="宋体" w:cs="宋体"/>
                <w:color w:val="000000"/>
                <w:kern w:val="0"/>
                <w:szCs w:val="21"/>
              </w:rPr>
              <w:t>完成主要</w:t>
            </w:r>
          </w:p>
          <w:p>
            <w:pPr>
              <w:widowControl/>
              <w:spacing w:line="270" w:lineRule="atLeast"/>
              <w:jc w:val="center"/>
              <w:rPr>
                <w:rFonts w:ascii="宋体" w:hAnsi="宋体" w:eastAsia="宋体" w:cs="宋体"/>
                <w:szCs w:val="21"/>
              </w:rPr>
            </w:pPr>
            <w:r>
              <w:rPr>
                <w:rFonts w:hint="eastAsia" w:ascii="宋体" w:hAnsi="宋体" w:eastAsia="宋体" w:cs="宋体"/>
                <w:color w:val="000000"/>
                <w:kern w:val="0"/>
                <w:szCs w:val="21"/>
              </w:rPr>
              <w:t>业绩</w:t>
            </w:r>
          </w:p>
          <w:p>
            <w:pPr>
              <w:widowControl/>
              <w:spacing w:line="270" w:lineRule="atLeast"/>
              <w:jc w:val="center"/>
              <w:rPr>
                <w:rFonts w:ascii="宋体" w:hAnsi="宋体" w:eastAsia="宋体" w:cs="宋体"/>
                <w:szCs w:val="21"/>
              </w:rPr>
            </w:pPr>
            <w:r>
              <w:rPr>
                <w:rFonts w:hint="eastAsia" w:ascii="宋体" w:hAnsi="宋体" w:eastAsia="宋体" w:cs="宋体"/>
                <w:color w:val="000000"/>
                <w:kern w:val="0"/>
                <w:szCs w:val="21"/>
              </w:rPr>
              <w:t>（可附页）</w:t>
            </w:r>
          </w:p>
        </w:tc>
        <w:tc>
          <w:tcPr>
            <w:tcW w:w="7361" w:type="dxa"/>
            <w:gridSpan w:val="7"/>
            <w:shd w:val="clear" w:color="auto" w:fill="auto"/>
            <w:vAlign w:val="center"/>
          </w:tcPr>
          <w:p>
            <w:pPr>
              <w:widowControl/>
              <w:spacing w:line="270" w:lineRule="atLeas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974" w:hRule="atLeast"/>
        </w:trPr>
        <w:tc>
          <w:tcPr>
            <w:tcW w:w="1202" w:type="dxa"/>
            <w:shd w:val="clear" w:color="auto" w:fill="auto"/>
            <w:vAlign w:val="center"/>
          </w:tcPr>
          <w:p>
            <w:pPr>
              <w:widowControl/>
              <w:spacing w:line="270" w:lineRule="atLeast"/>
              <w:jc w:val="center"/>
              <w:rPr>
                <w:rFonts w:ascii="宋体" w:hAnsi="宋体" w:eastAsia="宋体" w:cs="宋体"/>
                <w:color w:val="000000"/>
                <w:kern w:val="0"/>
                <w:szCs w:val="21"/>
              </w:rPr>
            </w:pPr>
            <w:r>
              <w:rPr>
                <w:rFonts w:hint="eastAsia" w:ascii="宋体" w:hAnsi="宋体" w:eastAsia="宋体" w:cs="宋体"/>
                <w:color w:val="000000"/>
                <w:kern w:val="0"/>
                <w:szCs w:val="21"/>
              </w:rPr>
              <w:t>评选年度</w:t>
            </w:r>
          </w:p>
          <w:p>
            <w:pPr>
              <w:widowControl/>
              <w:spacing w:line="270" w:lineRule="atLeast"/>
              <w:jc w:val="center"/>
              <w:rPr>
                <w:rFonts w:ascii="宋体" w:hAnsi="宋体" w:eastAsia="宋体" w:cs="宋体"/>
                <w:color w:val="000000"/>
                <w:kern w:val="0"/>
                <w:szCs w:val="21"/>
              </w:rPr>
            </w:pPr>
            <w:r>
              <w:rPr>
                <w:rFonts w:hint="eastAsia" w:ascii="宋体" w:hAnsi="宋体" w:eastAsia="宋体" w:cs="宋体"/>
                <w:color w:val="000000"/>
                <w:kern w:val="0"/>
                <w:szCs w:val="21"/>
              </w:rPr>
              <w:t>发表工程</w:t>
            </w:r>
          </w:p>
          <w:p>
            <w:pPr>
              <w:widowControl/>
              <w:spacing w:line="270" w:lineRule="atLeast"/>
              <w:jc w:val="center"/>
              <w:rPr>
                <w:rFonts w:ascii="宋体" w:hAnsi="宋体" w:eastAsia="宋体" w:cs="宋体"/>
                <w:color w:val="000000"/>
                <w:kern w:val="0"/>
                <w:szCs w:val="21"/>
              </w:rPr>
            </w:pPr>
            <w:r>
              <w:rPr>
                <w:rFonts w:hint="eastAsia" w:ascii="宋体" w:hAnsi="宋体" w:eastAsia="宋体" w:cs="宋体"/>
                <w:color w:val="000000"/>
                <w:kern w:val="0"/>
                <w:szCs w:val="21"/>
              </w:rPr>
              <w:t>造价理论</w:t>
            </w:r>
          </w:p>
          <w:p>
            <w:pPr>
              <w:widowControl/>
              <w:spacing w:line="270" w:lineRule="atLeast"/>
              <w:jc w:val="center"/>
              <w:rPr>
                <w:rFonts w:ascii="宋体" w:hAnsi="宋体" w:eastAsia="宋体" w:cs="宋体"/>
                <w:color w:val="000000"/>
                <w:kern w:val="0"/>
                <w:szCs w:val="21"/>
              </w:rPr>
            </w:pPr>
            <w:r>
              <w:rPr>
                <w:rFonts w:hint="eastAsia" w:ascii="宋体" w:hAnsi="宋体" w:eastAsia="宋体" w:cs="宋体"/>
                <w:color w:val="000000"/>
                <w:kern w:val="0"/>
                <w:szCs w:val="21"/>
              </w:rPr>
              <w:t>著述</w:t>
            </w:r>
          </w:p>
        </w:tc>
        <w:tc>
          <w:tcPr>
            <w:tcW w:w="7361" w:type="dxa"/>
            <w:gridSpan w:val="7"/>
            <w:shd w:val="clear" w:color="auto" w:fill="auto"/>
            <w:vAlign w:val="center"/>
          </w:tcPr>
          <w:p>
            <w:pPr>
              <w:widowControl/>
              <w:spacing w:line="270" w:lineRule="atLeast"/>
              <w:jc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476" w:hRule="atLeast"/>
        </w:trPr>
        <w:tc>
          <w:tcPr>
            <w:tcW w:w="1202" w:type="dxa"/>
            <w:shd w:val="clear" w:color="auto" w:fill="auto"/>
            <w:vAlign w:val="center"/>
          </w:tcPr>
          <w:p>
            <w:pPr>
              <w:widowControl/>
              <w:spacing w:line="270" w:lineRule="atLeast"/>
              <w:jc w:val="center"/>
              <w:rPr>
                <w:rFonts w:ascii="宋体" w:hAnsi="宋体" w:eastAsia="宋体" w:cs="宋体"/>
                <w:color w:val="000000"/>
                <w:kern w:val="0"/>
                <w:szCs w:val="21"/>
              </w:rPr>
            </w:pPr>
            <w:r>
              <w:rPr>
                <w:rFonts w:hint="eastAsia" w:ascii="宋体" w:hAnsi="宋体" w:eastAsia="宋体" w:cs="宋体"/>
                <w:color w:val="000000"/>
                <w:kern w:val="0"/>
                <w:szCs w:val="21"/>
              </w:rPr>
              <w:t>评选年度</w:t>
            </w:r>
          </w:p>
          <w:p>
            <w:pPr>
              <w:widowControl/>
              <w:spacing w:line="270" w:lineRule="atLeast"/>
              <w:jc w:val="center"/>
              <w:rPr>
                <w:rFonts w:ascii="宋体" w:hAnsi="宋体" w:eastAsia="宋体" w:cs="宋体"/>
                <w:color w:val="000000"/>
                <w:kern w:val="0"/>
                <w:szCs w:val="21"/>
              </w:rPr>
            </w:pPr>
            <w:r>
              <w:rPr>
                <w:rFonts w:hint="eastAsia" w:ascii="宋体" w:hAnsi="宋体" w:eastAsia="宋体" w:cs="宋体"/>
                <w:color w:val="000000"/>
                <w:kern w:val="0"/>
                <w:szCs w:val="21"/>
              </w:rPr>
              <w:t>参加工程</w:t>
            </w:r>
          </w:p>
          <w:p>
            <w:pPr>
              <w:widowControl/>
              <w:spacing w:line="270" w:lineRule="atLeast"/>
              <w:jc w:val="center"/>
              <w:rPr>
                <w:rFonts w:ascii="宋体" w:hAnsi="宋体" w:eastAsia="宋体" w:cs="宋体"/>
                <w:color w:val="000000"/>
                <w:kern w:val="0"/>
                <w:szCs w:val="21"/>
              </w:rPr>
            </w:pPr>
            <w:r>
              <w:rPr>
                <w:rFonts w:hint="eastAsia" w:ascii="宋体" w:hAnsi="宋体" w:eastAsia="宋体" w:cs="宋体"/>
                <w:color w:val="000000"/>
                <w:kern w:val="0"/>
                <w:szCs w:val="21"/>
              </w:rPr>
              <w:t>造价学术</w:t>
            </w:r>
          </w:p>
          <w:p>
            <w:pPr>
              <w:widowControl/>
              <w:spacing w:line="270" w:lineRule="atLeast"/>
              <w:jc w:val="center"/>
              <w:rPr>
                <w:rFonts w:ascii="宋体" w:hAnsi="宋体" w:eastAsia="宋体" w:cs="宋体"/>
                <w:color w:val="000000"/>
                <w:kern w:val="0"/>
                <w:szCs w:val="21"/>
              </w:rPr>
            </w:pPr>
            <w:r>
              <w:rPr>
                <w:rFonts w:hint="eastAsia" w:ascii="宋体" w:hAnsi="宋体" w:eastAsia="宋体" w:cs="宋体"/>
                <w:color w:val="000000"/>
                <w:kern w:val="0"/>
                <w:szCs w:val="21"/>
              </w:rPr>
              <w:t>活动、进修、协会</w:t>
            </w:r>
          </w:p>
          <w:p>
            <w:pPr>
              <w:widowControl/>
              <w:spacing w:line="270" w:lineRule="atLeast"/>
              <w:jc w:val="center"/>
              <w:rPr>
                <w:rFonts w:ascii="宋体" w:hAnsi="宋体" w:eastAsia="宋体" w:cs="宋体"/>
                <w:color w:val="000000"/>
                <w:kern w:val="0"/>
                <w:szCs w:val="21"/>
              </w:rPr>
            </w:pPr>
            <w:r>
              <w:rPr>
                <w:rFonts w:hint="eastAsia" w:ascii="宋体" w:hAnsi="宋体" w:eastAsia="宋体" w:cs="宋体"/>
                <w:color w:val="000000"/>
                <w:kern w:val="0"/>
                <w:szCs w:val="21"/>
              </w:rPr>
              <w:t>活动情况</w:t>
            </w:r>
          </w:p>
        </w:tc>
        <w:tc>
          <w:tcPr>
            <w:tcW w:w="7361" w:type="dxa"/>
            <w:gridSpan w:val="7"/>
            <w:shd w:val="clear" w:color="auto" w:fill="auto"/>
            <w:vAlign w:val="center"/>
          </w:tcPr>
          <w:p>
            <w:pPr>
              <w:widowControl/>
              <w:spacing w:line="270" w:lineRule="atLeast"/>
              <w:jc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09" w:hRule="atLeast"/>
        </w:trPr>
        <w:tc>
          <w:tcPr>
            <w:tcW w:w="1202" w:type="dxa"/>
            <w:shd w:val="clear" w:color="auto" w:fill="auto"/>
            <w:vAlign w:val="center"/>
          </w:tcPr>
          <w:p>
            <w:pPr>
              <w:widowControl/>
              <w:spacing w:line="270" w:lineRule="atLeast"/>
              <w:jc w:val="center"/>
              <w:rPr>
                <w:rFonts w:ascii="宋体" w:hAnsi="宋体" w:eastAsia="宋体" w:cs="宋体"/>
                <w:color w:val="000000"/>
                <w:kern w:val="0"/>
                <w:szCs w:val="21"/>
              </w:rPr>
            </w:pPr>
            <w:r>
              <w:rPr>
                <w:rFonts w:hint="eastAsia" w:ascii="宋体" w:hAnsi="宋体" w:eastAsia="宋体" w:cs="宋体"/>
                <w:color w:val="000000"/>
                <w:kern w:val="0"/>
                <w:szCs w:val="21"/>
              </w:rPr>
              <w:t>所从事的</w:t>
            </w:r>
          </w:p>
          <w:p>
            <w:pPr>
              <w:widowControl/>
              <w:spacing w:line="270" w:lineRule="atLeast"/>
              <w:jc w:val="center"/>
              <w:rPr>
                <w:rFonts w:ascii="宋体" w:hAnsi="宋体" w:eastAsia="宋体" w:cs="宋体"/>
                <w:color w:val="000000"/>
                <w:kern w:val="0"/>
                <w:szCs w:val="21"/>
              </w:rPr>
            </w:pPr>
            <w:r>
              <w:rPr>
                <w:rFonts w:hint="eastAsia" w:ascii="宋体" w:hAnsi="宋体" w:eastAsia="宋体" w:cs="宋体"/>
                <w:color w:val="000000"/>
                <w:kern w:val="0"/>
                <w:szCs w:val="21"/>
              </w:rPr>
              <w:t>主要工作、先进事迹</w:t>
            </w:r>
          </w:p>
        </w:tc>
        <w:tc>
          <w:tcPr>
            <w:tcW w:w="7361" w:type="dxa"/>
            <w:gridSpan w:val="7"/>
            <w:shd w:val="clear" w:color="auto" w:fill="auto"/>
            <w:vAlign w:val="center"/>
          </w:tcPr>
          <w:p>
            <w:pPr>
              <w:widowControl/>
              <w:spacing w:line="270" w:lineRule="atLeast"/>
              <w:jc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684" w:hRule="atLeast"/>
        </w:trPr>
        <w:tc>
          <w:tcPr>
            <w:tcW w:w="1202"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执业单位</w:t>
            </w:r>
          </w:p>
          <w:p>
            <w:pPr>
              <w:widowControl/>
              <w:jc w:val="center"/>
              <w:rPr>
                <w:rFonts w:ascii="宋体" w:hAnsi="宋体" w:eastAsia="宋体" w:cs="宋体"/>
                <w:kern w:val="0"/>
                <w:szCs w:val="21"/>
              </w:rPr>
            </w:pPr>
            <w:r>
              <w:rPr>
                <w:rFonts w:hint="eastAsia" w:ascii="宋体" w:hAnsi="宋体" w:eastAsia="宋体" w:cs="宋体"/>
                <w:kern w:val="0"/>
                <w:szCs w:val="21"/>
              </w:rPr>
              <w:t>工作评价</w:t>
            </w:r>
          </w:p>
          <w:p>
            <w:pPr>
              <w:widowControl/>
              <w:spacing w:line="270" w:lineRule="atLeast"/>
              <w:jc w:val="center"/>
              <w:rPr>
                <w:rFonts w:ascii="宋体" w:hAnsi="宋体" w:eastAsia="宋体" w:cs="宋体"/>
                <w:szCs w:val="21"/>
              </w:rPr>
            </w:pPr>
            <w:r>
              <w:rPr>
                <w:rFonts w:hint="eastAsia" w:ascii="宋体" w:hAnsi="宋体" w:eastAsia="宋体" w:cs="宋体"/>
                <w:color w:val="000000"/>
                <w:kern w:val="0"/>
                <w:szCs w:val="21"/>
              </w:rPr>
              <w:t>（可附页）</w:t>
            </w:r>
          </w:p>
        </w:tc>
        <w:tc>
          <w:tcPr>
            <w:tcW w:w="7361" w:type="dxa"/>
            <w:gridSpan w:val="7"/>
            <w:shd w:val="clear" w:color="auto" w:fill="auto"/>
            <w:vAlign w:val="center"/>
          </w:tcPr>
          <w:p>
            <w:pPr>
              <w:widowControl/>
              <w:spacing w:line="270" w:lineRule="atLeast"/>
              <w:jc w:val="center"/>
              <w:rPr>
                <w:rFonts w:ascii="宋体" w:hAnsi="宋体" w:eastAsia="宋体" w:cs="宋体"/>
                <w:szCs w:val="21"/>
              </w:rPr>
            </w:pPr>
          </w:p>
          <w:p>
            <w:pPr>
              <w:widowControl/>
              <w:spacing w:line="270" w:lineRule="atLeast"/>
              <w:jc w:val="center"/>
              <w:rPr>
                <w:rFonts w:ascii="宋体" w:hAnsi="宋体" w:eastAsia="宋体" w:cs="宋体"/>
                <w:szCs w:val="21"/>
              </w:rPr>
            </w:pPr>
          </w:p>
          <w:p>
            <w:pPr>
              <w:widowControl/>
              <w:spacing w:line="270" w:lineRule="atLeast"/>
              <w:jc w:val="center"/>
              <w:rPr>
                <w:rFonts w:ascii="宋体" w:hAnsi="宋体" w:eastAsia="宋体" w:cs="宋体"/>
                <w:szCs w:val="21"/>
              </w:rPr>
            </w:pPr>
          </w:p>
          <w:p>
            <w:pPr>
              <w:widowControl/>
              <w:spacing w:line="270" w:lineRule="atLeast"/>
              <w:ind w:firstLine="210" w:firstLineChars="100"/>
              <w:jc w:val="left"/>
              <w:rPr>
                <w:rFonts w:ascii="宋体" w:hAnsi="宋体" w:eastAsia="宋体" w:cs="宋体"/>
                <w:color w:val="000000"/>
                <w:kern w:val="0"/>
                <w:szCs w:val="21"/>
              </w:rPr>
            </w:pPr>
            <w:r>
              <w:rPr>
                <w:rFonts w:hint="eastAsia" w:ascii="宋体" w:hAnsi="宋体" w:eastAsia="宋体" w:cs="宋体"/>
                <w:color w:val="000000"/>
                <w:kern w:val="0"/>
                <w:szCs w:val="21"/>
              </w:rPr>
              <w:t>负责人</w:t>
            </w:r>
          </w:p>
          <w:p>
            <w:pPr>
              <w:widowControl/>
              <w:spacing w:line="270" w:lineRule="atLeast"/>
              <w:ind w:firstLine="344" w:firstLineChars="164"/>
              <w:jc w:val="left"/>
              <w:rPr>
                <w:rFonts w:ascii="宋体" w:hAnsi="宋体" w:eastAsia="宋体" w:cs="宋体"/>
                <w:szCs w:val="21"/>
              </w:rPr>
            </w:pPr>
            <w:r>
              <w:rPr>
                <w:rFonts w:hint="eastAsia" w:ascii="宋体" w:hAnsi="宋体" w:eastAsia="宋体" w:cs="宋体"/>
                <w:color w:val="000000"/>
                <w:kern w:val="0"/>
                <w:szCs w:val="21"/>
              </w:rPr>
              <w:t>签字：                     </w:t>
            </w:r>
            <w:r>
              <w:rPr>
                <w:rFonts w:ascii="宋体" w:hAnsi="宋体" w:eastAsia="宋体" w:cs="宋体"/>
                <w:color w:val="000000"/>
                <w:kern w:val="0"/>
                <w:szCs w:val="21"/>
              </w:rPr>
              <w:t xml:space="preserve">     </w:t>
            </w:r>
            <w:r>
              <w:rPr>
                <w:rFonts w:hint="eastAsia" w:ascii="宋体" w:hAnsi="宋体" w:eastAsia="宋体" w:cs="宋体"/>
                <w:color w:val="000000"/>
                <w:kern w:val="0"/>
                <w:szCs w:val="21"/>
              </w:rPr>
              <w:t> （公章）</w:t>
            </w:r>
          </w:p>
          <w:p>
            <w:pPr>
              <w:widowControl/>
              <w:spacing w:line="270" w:lineRule="atLeast"/>
              <w:jc w:val="right"/>
              <w:rPr>
                <w:rFonts w:ascii="宋体" w:hAnsi="宋体" w:eastAsia="宋体" w:cs="宋体"/>
                <w:szCs w:val="21"/>
              </w:rPr>
            </w:pPr>
            <w:r>
              <w:rPr>
                <w:rFonts w:hint="eastAsia" w:ascii="宋体" w:hAnsi="宋体" w:eastAsia="宋体" w:cs="宋体"/>
                <w:color w:val="000000"/>
                <w:kern w:val="0"/>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114" w:hRule="atLeast"/>
        </w:trPr>
        <w:tc>
          <w:tcPr>
            <w:tcW w:w="1202" w:type="dxa"/>
            <w:shd w:val="clear" w:color="auto" w:fill="auto"/>
            <w:vAlign w:val="center"/>
          </w:tcPr>
          <w:p>
            <w:pPr>
              <w:widowControl/>
              <w:spacing w:line="270" w:lineRule="atLeast"/>
              <w:jc w:val="center"/>
              <w:rPr>
                <w:rFonts w:ascii="宋体" w:hAnsi="宋体" w:eastAsia="宋体" w:cs="宋体"/>
                <w:szCs w:val="21"/>
              </w:rPr>
            </w:pPr>
            <w:r>
              <w:rPr>
                <w:rFonts w:hint="eastAsia" w:ascii="宋体" w:hAnsi="宋体" w:eastAsia="宋体" w:cs="宋体"/>
                <w:kern w:val="0"/>
                <w:szCs w:val="21"/>
              </w:rPr>
              <w:t>评审委员会意 见</w:t>
            </w:r>
          </w:p>
        </w:tc>
        <w:tc>
          <w:tcPr>
            <w:tcW w:w="7361" w:type="dxa"/>
            <w:gridSpan w:val="7"/>
            <w:shd w:val="clear" w:color="auto" w:fill="auto"/>
            <w:vAlign w:val="bottom"/>
          </w:tcPr>
          <w:p>
            <w:pPr>
              <w:widowControl/>
              <w:spacing w:line="270" w:lineRule="atLeast"/>
              <w:ind w:right="460" w:firstLine="5760"/>
              <w:jc w:val="right"/>
              <w:rPr>
                <w:rFonts w:ascii="宋体" w:hAnsi="宋体" w:eastAsia="宋体" w:cs="宋体"/>
                <w:szCs w:val="21"/>
              </w:rPr>
            </w:pPr>
          </w:p>
          <w:p>
            <w:pPr>
              <w:widowControl/>
              <w:spacing w:line="270" w:lineRule="atLeast"/>
              <w:ind w:right="460" w:firstLine="5760"/>
              <w:jc w:val="right"/>
              <w:rPr>
                <w:rFonts w:ascii="宋体" w:hAnsi="宋体" w:eastAsia="宋体" w:cs="宋体"/>
                <w:szCs w:val="21"/>
              </w:rPr>
            </w:pPr>
          </w:p>
          <w:p>
            <w:pPr>
              <w:widowControl/>
              <w:spacing w:line="270" w:lineRule="atLeast"/>
              <w:ind w:right="460" w:firstLine="5760"/>
              <w:jc w:val="right"/>
              <w:rPr>
                <w:rFonts w:ascii="宋体" w:hAnsi="宋体" w:eastAsia="宋体" w:cs="宋体"/>
                <w:szCs w:val="21"/>
              </w:rPr>
            </w:pPr>
            <w:r>
              <w:rPr>
                <w:rFonts w:hint="eastAsia" w:ascii="宋体" w:hAnsi="宋体" w:eastAsia="宋体" w:cs="宋体"/>
                <w:color w:val="000000"/>
                <w:kern w:val="0"/>
                <w:szCs w:val="21"/>
              </w:rPr>
              <w:t>(公章)</w:t>
            </w:r>
          </w:p>
          <w:p>
            <w:pPr>
              <w:widowControl/>
              <w:spacing w:line="270" w:lineRule="atLeast"/>
              <w:jc w:val="right"/>
              <w:rPr>
                <w:rFonts w:ascii="宋体" w:hAnsi="宋体" w:eastAsia="宋体" w:cs="宋体"/>
                <w:szCs w:val="21"/>
              </w:rPr>
            </w:pPr>
            <w:r>
              <w:rPr>
                <w:rFonts w:hint="eastAsia" w:ascii="宋体" w:hAnsi="宋体" w:eastAsia="宋体" w:cs="宋体"/>
                <w:color w:val="000000"/>
                <w:kern w:val="0"/>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99" w:hRule="atLeast"/>
        </w:trPr>
        <w:tc>
          <w:tcPr>
            <w:tcW w:w="1202" w:type="dxa"/>
            <w:shd w:val="clear" w:color="auto" w:fill="auto"/>
            <w:vAlign w:val="center"/>
          </w:tcPr>
          <w:p>
            <w:pPr>
              <w:widowControl/>
              <w:spacing w:line="270" w:lineRule="atLeast"/>
              <w:jc w:val="center"/>
              <w:rPr>
                <w:rFonts w:ascii="宋体" w:hAnsi="宋体" w:eastAsia="宋体" w:cs="宋体"/>
                <w:szCs w:val="21"/>
              </w:rPr>
            </w:pPr>
            <w:r>
              <w:rPr>
                <w:rFonts w:hint="eastAsia" w:ascii="宋体" w:hAnsi="宋体" w:eastAsia="宋体" w:cs="宋体"/>
                <w:kern w:val="0"/>
                <w:szCs w:val="21"/>
              </w:rPr>
              <w:t>专业委员会意 见</w:t>
            </w:r>
          </w:p>
        </w:tc>
        <w:tc>
          <w:tcPr>
            <w:tcW w:w="7361" w:type="dxa"/>
            <w:gridSpan w:val="7"/>
            <w:shd w:val="clear" w:color="auto" w:fill="auto"/>
            <w:vAlign w:val="bottom"/>
          </w:tcPr>
          <w:p>
            <w:pPr>
              <w:widowControl/>
              <w:spacing w:line="270" w:lineRule="atLeast"/>
              <w:ind w:right="460" w:firstLine="5760"/>
              <w:jc w:val="right"/>
              <w:rPr>
                <w:rFonts w:ascii="宋体" w:hAnsi="宋体" w:eastAsia="宋体" w:cs="宋体"/>
                <w:szCs w:val="21"/>
              </w:rPr>
            </w:pPr>
          </w:p>
          <w:p>
            <w:pPr>
              <w:widowControl/>
              <w:spacing w:line="270" w:lineRule="atLeast"/>
              <w:ind w:right="460" w:firstLine="5760"/>
              <w:jc w:val="right"/>
              <w:rPr>
                <w:rFonts w:ascii="宋体" w:hAnsi="宋体" w:eastAsia="宋体" w:cs="宋体"/>
                <w:szCs w:val="21"/>
              </w:rPr>
            </w:pPr>
          </w:p>
          <w:p>
            <w:pPr>
              <w:widowControl/>
              <w:spacing w:line="270" w:lineRule="atLeast"/>
              <w:ind w:right="460" w:firstLine="5760"/>
              <w:jc w:val="right"/>
              <w:rPr>
                <w:rFonts w:ascii="宋体" w:hAnsi="宋体" w:eastAsia="宋体" w:cs="宋体"/>
                <w:szCs w:val="21"/>
              </w:rPr>
            </w:pPr>
            <w:r>
              <w:rPr>
                <w:rFonts w:hint="eastAsia" w:ascii="宋体" w:hAnsi="宋体" w:eastAsia="宋体" w:cs="宋体"/>
                <w:color w:val="000000"/>
                <w:kern w:val="0"/>
                <w:szCs w:val="21"/>
              </w:rPr>
              <w:t>(公章)</w:t>
            </w:r>
          </w:p>
          <w:p>
            <w:pPr>
              <w:widowControl/>
              <w:spacing w:line="270" w:lineRule="atLeast"/>
              <w:jc w:val="right"/>
              <w:rPr>
                <w:rFonts w:ascii="宋体" w:hAnsi="宋体" w:eastAsia="宋体" w:cs="宋体"/>
                <w:szCs w:val="21"/>
              </w:rPr>
            </w:pPr>
            <w:r>
              <w:rPr>
                <w:rFonts w:hint="eastAsia" w:ascii="宋体" w:hAnsi="宋体" w:eastAsia="宋体" w:cs="宋体"/>
                <w:color w:val="000000"/>
                <w:kern w:val="0"/>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687" w:hRule="atLeast"/>
        </w:trPr>
        <w:tc>
          <w:tcPr>
            <w:tcW w:w="1202" w:type="dxa"/>
            <w:shd w:val="clear" w:color="auto" w:fill="auto"/>
            <w:vAlign w:val="center"/>
          </w:tcPr>
          <w:p>
            <w:pPr>
              <w:widowControl/>
              <w:spacing w:line="270" w:lineRule="atLeast"/>
              <w:jc w:val="center"/>
              <w:rPr>
                <w:rFonts w:ascii="宋体" w:hAnsi="宋体" w:eastAsia="宋体" w:cs="宋体"/>
                <w:szCs w:val="21"/>
              </w:rPr>
            </w:pPr>
            <w:r>
              <w:rPr>
                <w:rFonts w:hint="eastAsia" w:ascii="宋体" w:hAnsi="宋体" w:eastAsia="宋体" w:cs="宋体"/>
                <w:szCs w:val="21"/>
              </w:rPr>
              <w:t>内蒙古自治区工程建设协会意见</w:t>
            </w:r>
          </w:p>
        </w:tc>
        <w:tc>
          <w:tcPr>
            <w:tcW w:w="7361" w:type="dxa"/>
            <w:gridSpan w:val="7"/>
            <w:shd w:val="clear" w:color="auto" w:fill="auto"/>
            <w:vAlign w:val="center"/>
          </w:tcPr>
          <w:p>
            <w:pPr>
              <w:widowControl/>
              <w:spacing w:line="270" w:lineRule="atLeast"/>
              <w:jc w:val="right"/>
              <w:rPr>
                <w:rFonts w:ascii="宋体" w:hAnsi="宋体" w:eastAsia="宋体" w:cs="宋体"/>
                <w:szCs w:val="21"/>
              </w:rPr>
            </w:pPr>
          </w:p>
          <w:p>
            <w:pPr>
              <w:widowControl/>
              <w:spacing w:line="270" w:lineRule="atLeast"/>
              <w:jc w:val="right"/>
              <w:rPr>
                <w:rFonts w:ascii="宋体" w:hAnsi="宋体" w:eastAsia="宋体" w:cs="宋体"/>
                <w:szCs w:val="21"/>
              </w:rPr>
            </w:pPr>
          </w:p>
          <w:p>
            <w:pPr>
              <w:widowControl/>
              <w:spacing w:line="270" w:lineRule="atLeast"/>
              <w:jc w:val="right"/>
              <w:rPr>
                <w:rFonts w:ascii="宋体" w:hAnsi="宋体" w:eastAsia="宋体" w:cs="宋体"/>
                <w:szCs w:val="21"/>
              </w:rPr>
            </w:pPr>
          </w:p>
          <w:p>
            <w:pPr>
              <w:widowControl/>
              <w:spacing w:line="270" w:lineRule="atLeast"/>
              <w:jc w:val="right"/>
              <w:rPr>
                <w:rFonts w:ascii="宋体" w:hAnsi="宋体" w:eastAsia="宋体" w:cs="宋体"/>
                <w:szCs w:val="21"/>
              </w:rPr>
            </w:pPr>
            <w:r>
              <w:rPr>
                <w:rFonts w:hint="eastAsia" w:ascii="宋体" w:hAnsi="宋体" w:eastAsia="宋体" w:cs="宋体"/>
                <w:color w:val="000000"/>
                <w:kern w:val="0"/>
                <w:szCs w:val="21"/>
              </w:rPr>
              <w:t>（公章）</w:t>
            </w:r>
          </w:p>
          <w:p>
            <w:pPr>
              <w:widowControl/>
              <w:spacing w:line="270" w:lineRule="atLeast"/>
              <w:jc w:val="right"/>
              <w:rPr>
                <w:rFonts w:ascii="宋体" w:hAnsi="宋体" w:eastAsia="宋体" w:cs="宋体"/>
                <w:szCs w:val="21"/>
              </w:rPr>
            </w:pPr>
            <w:r>
              <w:rPr>
                <w:rFonts w:hint="eastAsia" w:ascii="宋体" w:hAnsi="宋体" w:eastAsia="宋体" w:cs="宋体"/>
                <w:color w:val="000000"/>
                <w:kern w:val="0"/>
                <w:szCs w:val="21"/>
              </w:rPr>
              <w:t>年 月  日</w:t>
            </w:r>
          </w:p>
        </w:tc>
      </w:tr>
    </w:tbl>
    <w:p>
      <w:pPr>
        <w:adjustRightInd w:val="0"/>
        <w:snapToGrid w:val="0"/>
        <w:spacing w:line="360" w:lineRule="auto"/>
        <w:jc w:val="center"/>
        <w:rPr>
          <w:rFonts w:ascii="宋体" w:hAnsi="宋体" w:eastAsia="宋体" w:cs="宋体"/>
          <w:sz w:val="24"/>
        </w:rPr>
      </w:pPr>
    </w:p>
    <w:p>
      <w:pPr>
        <w:widowControl/>
        <w:jc w:val="center"/>
        <w:rPr>
          <w:rFonts w:ascii="宋体" w:hAnsi="宋体" w:eastAsia="宋体" w:cs="宋体"/>
          <w:b/>
          <w:color w:val="000000"/>
          <w:kern w:val="0"/>
          <w:sz w:val="32"/>
          <w:szCs w:val="36"/>
        </w:rPr>
      </w:pPr>
      <w:r>
        <w:rPr>
          <w:rFonts w:ascii="宋体" w:hAnsi="宋体" w:eastAsia="宋体" w:cs="宋体"/>
          <w:sz w:val="24"/>
        </w:rPr>
        <w:br w:type="page"/>
      </w:r>
      <w:r>
        <w:rPr>
          <w:rFonts w:hint="eastAsia" w:ascii="宋体" w:hAnsi="宋体" w:eastAsia="宋体" w:cs="宋体"/>
          <w:b/>
          <w:color w:val="000000"/>
          <w:kern w:val="0"/>
          <w:sz w:val="32"/>
          <w:szCs w:val="36"/>
        </w:rPr>
        <w:t>参评“优秀造价工程师”在评选年度工作业绩总结</w:t>
      </w:r>
    </w:p>
    <w:tbl>
      <w:tblPr>
        <w:tblStyle w:val="7"/>
        <w:tblW w:w="85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970" w:hRule="atLeast"/>
        </w:trPr>
        <w:tc>
          <w:tcPr>
            <w:tcW w:w="8563" w:type="dxa"/>
            <w:shd w:val="clear" w:color="auto" w:fill="auto"/>
            <w:vAlign w:val="center"/>
          </w:tcPr>
          <w:p>
            <w:pPr>
              <w:widowControl/>
              <w:spacing w:line="270" w:lineRule="atLeast"/>
              <w:rPr>
                <w:rFonts w:ascii="宋体" w:hAnsi="宋体" w:eastAsia="宋体" w:cs="宋体"/>
                <w:color w:val="000000"/>
                <w:kern w:val="0"/>
                <w:szCs w:val="21"/>
              </w:rPr>
            </w:pPr>
          </w:p>
        </w:tc>
      </w:tr>
    </w:tbl>
    <w:p>
      <w:pPr>
        <w:widowControl/>
        <w:rPr>
          <w:rFonts w:ascii="宋体" w:hAnsi="宋体" w:eastAsia="宋体" w:cs="宋体"/>
          <w:sz w:val="24"/>
        </w:rPr>
      </w:pPr>
    </w:p>
    <w:p>
      <w:pPr>
        <w:adjustRightInd w:val="0"/>
        <w:snapToGrid w:val="0"/>
        <w:spacing w:line="360" w:lineRule="auto"/>
        <w:rPr>
          <w:rFonts w:ascii="宋体" w:hAnsi="宋体" w:eastAsia="宋体" w:cs="宋体"/>
          <w:sz w:val="28"/>
          <w:szCs w:val="28"/>
        </w:rPr>
      </w:pPr>
      <w:r>
        <w:rPr>
          <w:rFonts w:hint="eastAsia" w:ascii="宋体" w:hAnsi="宋体" w:eastAsia="宋体" w:cs="宋体"/>
          <w:sz w:val="28"/>
          <w:szCs w:val="28"/>
        </w:rPr>
        <w:t>附件</w:t>
      </w:r>
      <w:r>
        <w:rPr>
          <w:rFonts w:ascii="宋体" w:hAnsi="宋体" w:eastAsia="宋体" w:cs="宋体"/>
          <w:sz w:val="28"/>
          <w:szCs w:val="28"/>
        </w:rPr>
        <w:t>2</w:t>
      </w:r>
    </w:p>
    <w:p>
      <w:pPr>
        <w:adjustRightInd w:val="0"/>
        <w:snapToGrid w:val="0"/>
        <w:spacing w:line="360" w:lineRule="auto"/>
        <w:jc w:val="center"/>
        <w:textAlignment w:val="baseline"/>
        <w:rPr>
          <w:rFonts w:ascii="宋体" w:hAnsi="宋体" w:eastAsia="宋体" w:cs="宋体"/>
          <w:b/>
          <w:snapToGrid w:val="0"/>
          <w:color w:val="000000" w:themeColor="text1"/>
          <w:kern w:val="0"/>
          <w:sz w:val="32"/>
          <w:szCs w:val="32"/>
          <w14:textFill>
            <w14:solidFill>
              <w14:schemeClr w14:val="tx1"/>
            </w14:solidFill>
          </w14:textFill>
        </w:rPr>
      </w:pPr>
      <w:r>
        <w:rPr>
          <w:rFonts w:hint="eastAsia" w:ascii="宋体" w:hAnsi="宋体" w:eastAsia="宋体" w:cs="宋体"/>
          <w:b/>
          <w:snapToGrid w:val="0"/>
          <w:color w:val="000000" w:themeColor="text1"/>
          <w:kern w:val="0"/>
          <w:sz w:val="32"/>
          <w:szCs w:val="32"/>
          <w14:textFill>
            <w14:solidFill>
              <w14:schemeClr w14:val="tx1"/>
            </w14:solidFill>
          </w14:textFill>
        </w:rPr>
        <w:t>内蒙古自治区“优秀造价工程师”评选活动评分标准</w:t>
      </w:r>
    </w:p>
    <w:tbl>
      <w:tblPr>
        <w:tblStyle w:val="7"/>
        <w:tblW w:w="9923"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76"/>
        <w:gridCol w:w="1276"/>
        <w:gridCol w:w="3686"/>
        <w:gridCol w:w="708"/>
        <w:gridCol w:w="198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8" w:hRule="atLeast"/>
          <w:tblHeader/>
        </w:trPr>
        <w:tc>
          <w:tcPr>
            <w:tcW w:w="1276" w:type="dxa"/>
            <w:shd w:val="clear" w:color="auto" w:fill="F3F3F3"/>
            <w:tcMar>
              <w:left w:w="108" w:type="dxa"/>
              <w:right w:w="108" w:type="dxa"/>
            </w:tcMar>
            <w:vAlign w:val="center"/>
          </w:tcPr>
          <w:p>
            <w:pPr>
              <w:widowControl/>
              <w:spacing w:line="270" w:lineRule="atLeast"/>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项目</w:t>
            </w:r>
          </w:p>
        </w:tc>
        <w:tc>
          <w:tcPr>
            <w:tcW w:w="1276" w:type="dxa"/>
            <w:shd w:val="clear" w:color="auto" w:fill="F3F3F3"/>
            <w:tcMar>
              <w:left w:w="108" w:type="dxa"/>
              <w:right w:w="108" w:type="dxa"/>
            </w:tcMar>
            <w:vAlign w:val="center"/>
          </w:tcPr>
          <w:p>
            <w:pPr>
              <w:widowControl/>
              <w:spacing w:line="270" w:lineRule="atLeast"/>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考核内容</w:t>
            </w:r>
          </w:p>
        </w:tc>
        <w:tc>
          <w:tcPr>
            <w:tcW w:w="3686" w:type="dxa"/>
            <w:shd w:val="clear" w:color="auto" w:fill="F3F3F3"/>
            <w:tcMar>
              <w:left w:w="108" w:type="dxa"/>
              <w:right w:w="108" w:type="dxa"/>
            </w:tcMar>
            <w:vAlign w:val="center"/>
          </w:tcPr>
          <w:p>
            <w:pPr>
              <w:widowControl/>
              <w:spacing w:line="270" w:lineRule="atLeast"/>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评分标准</w:t>
            </w:r>
          </w:p>
        </w:tc>
        <w:tc>
          <w:tcPr>
            <w:tcW w:w="708" w:type="dxa"/>
            <w:shd w:val="clear" w:color="auto" w:fill="F3F3F3"/>
            <w:tcMar>
              <w:left w:w="108" w:type="dxa"/>
              <w:right w:w="108" w:type="dxa"/>
            </w:tcMar>
            <w:vAlign w:val="center"/>
          </w:tcPr>
          <w:p>
            <w:pPr>
              <w:widowControl/>
              <w:spacing w:line="270" w:lineRule="atLeast"/>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分值</w:t>
            </w:r>
          </w:p>
        </w:tc>
        <w:tc>
          <w:tcPr>
            <w:tcW w:w="1985" w:type="dxa"/>
            <w:shd w:val="clear" w:color="auto" w:fill="F3F3F3"/>
          </w:tcPr>
          <w:p>
            <w:pPr>
              <w:widowControl/>
              <w:spacing w:line="270" w:lineRule="atLeast"/>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评审记录</w:t>
            </w:r>
          </w:p>
        </w:tc>
        <w:tc>
          <w:tcPr>
            <w:tcW w:w="992" w:type="dxa"/>
            <w:shd w:val="clear" w:color="auto" w:fill="F3F3F3"/>
          </w:tcPr>
          <w:p>
            <w:pPr>
              <w:widowControl/>
              <w:spacing w:line="270" w:lineRule="atLeast"/>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需提供的证明材料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997" w:hRule="atLeast"/>
        </w:trPr>
        <w:tc>
          <w:tcPr>
            <w:tcW w:w="1276" w:type="dxa"/>
            <w:vMerge w:val="restart"/>
            <w:shd w:val="clear" w:color="auto" w:fill="auto"/>
            <w:tcMar>
              <w:left w:w="108" w:type="dxa"/>
              <w:right w:w="108" w:type="dxa"/>
            </w:tcMar>
            <w:vAlign w:val="center"/>
          </w:tcPr>
          <w:p>
            <w:pPr>
              <w:widowControl/>
              <w:spacing w:line="270" w:lineRule="atLeast"/>
              <w:jc w:val="center"/>
              <w:rPr>
                <w:rFonts w:ascii="仿宋_GB2312" w:hAnsi="仿宋_GB2312" w:eastAsia="仿宋_GB2312" w:cs="仿宋_GB2312"/>
              </w:rPr>
            </w:pPr>
            <w:r>
              <w:rPr>
                <w:rFonts w:hint="eastAsia" w:ascii="仿宋_GB2312" w:hAnsi="仿宋_GB2312" w:eastAsia="仿宋_GB2312" w:cs="仿宋_GB2312"/>
              </w:rPr>
              <w:t>（一）</w:t>
            </w:r>
          </w:p>
          <w:p>
            <w:pPr>
              <w:widowControl/>
              <w:spacing w:line="270" w:lineRule="atLeast"/>
              <w:jc w:val="center"/>
              <w:rPr>
                <w:rFonts w:ascii="仿宋_GB2312" w:hAnsi="仿宋_GB2312" w:eastAsia="仿宋_GB2312" w:cs="仿宋_GB2312"/>
              </w:rPr>
            </w:pPr>
            <w:r>
              <w:rPr>
                <w:rFonts w:hint="eastAsia" w:ascii="仿宋_GB2312" w:hAnsi="仿宋_GB2312" w:eastAsia="仿宋_GB2312" w:cs="仿宋_GB2312"/>
              </w:rPr>
              <w:t>综合素质</w:t>
            </w:r>
          </w:p>
          <w:p>
            <w:pPr>
              <w:widowControl/>
              <w:spacing w:line="270" w:lineRule="atLeast"/>
              <w:jc w:val="center"/>
              <w:rPr>
                <w:rFonts w:ascii="仿宋_GB2312" w:hAnsi="仿宋_GB2312" w:eastAsia="仿宋_GB2312" w:cs="仿宋_GB2312"/>
              </w:rPr>
            </w:pPr>
            <w:r>
              <w:rPr>
                <w:rFonts w:hint="eastAsia" w:ascii="仿宋_GB2312" w:hAnsi="仿宋_GB2312" w:eastAsia="仿宋_GB2312" w:cs="仿宋_GB2312"/>
              </w:rPr>
              <w:t>26分</w:t>
            </w:r>
          </w:p>
        </w:tc>
        <w:tc>
          <w:tcPr>
            <w:tcW w:w="1276" w:type="dxa"/>
            <w:shd w:val="clear" w:color="auto" w:fill="auto"/>
            <w:tcMar>
              <w:left w:w="108" w:type="dxa"/>
              <w:right w:w="108" w:type="dxa"/>
            </w:tcMar>
            <w:vAlign w:val="center"/>
          </w:tcPr>
          <w:p>
            <w:pPr>
              <w:widowControl/>
              <w:spacing w:line="270" w:lineRule="atLeast"/>
              <w:jc w:val="center"/>
              <w:rPr>
                <w:rFonts w:ascii="仿宋_GB2312" w:hAnsi="仿宋_GB2312" w:eastAsia="仿宋_GB2312" w:cs="仿宋_GB2312"/>
              </w:rPr>
            </w:pPr>
            <w:r>
              <w:rPr>
                <w:rFonts w:hint="eastAsia" w:ascii="仿宋_GB2312" w:hAnsi="仿宋_GB2312" w:eastAsia="仿宋_GB2312" w:cs="仿宋_GB2312"/>
              </w:rPr>
              <w:t>遵纪守法</w:t>
            </w:r>
          </w:p>
        </w:tc>
        <w:tc>
          <w:tcPr>
            <w:tcW w:w="3686" w:type="dxa"/>
            <w:shd w:val="clear" w:color="auto" w:fill="auto"/>
            <w:tcMar>
              <w:left w:w="108" w:type="dxa"/>
              <w:right w:w="108" w:type="dxa"/>
            </w:tcMar>
            <w:vAlign w:val="center"/>
          </w:tcPr>
          <w:p>
            <w:pPr>
              <w:widowControl/>
              <w:spacing w:line="270" w:lineRule="atLeast"/>
              <w:jc w:val="left"/>
              <w:rPr>
                <w:rFonts w:ascii="仿宋_GB2312" w:hAnsi="仿宋_GB2312" w:eastAsia="仿宋_GB2312" w:cs="仿宋_GB2312"/>
              </w:rPr>
            </w:pPr>
            <w:r>
              <w:rPr>
                <w:rFonts w:hint="eastAsia" w:ascii="仿宋_GB2312" w:hAnsi="仿宋_GB2312" w:eastAsia="仿宋_GB2312" w:cs="仿宋_GB2312"/>
              </w:rPr>
              <w:t>遵守国家的法律法规，遵守单位规章制度，廉洁自律，在同一单位执业2年以上的得1分，3年以上得2分， 5年以上得4分。满分为4分。</w:t>
            </w:r>
          </w:p>
        </w:tc>
        <w:tc>
          <w:tcPr>
            <w:tcW w:w="708" w:type="dxa"/>
            <w:shd w:val="clear" w:color="auto" w:fill="auto"/>
            <w:tcMar>
              <w:left w:w="108" w:type="dxa"/>
              <w:right w:w="108" w:type="dxa"/>
            </w:tcMar>
            <w:vAlign w:val="center"/>
          </w:tcPr>
          <w:p>
            <w:pPr>
              <w:widowControl/>
              <w:spacing w:line="270" w:lineRule="atLeast"/>
              <w:jc w:val="center"/>
              <w:rPr>
                <w:rFonts w:ascii="仿宋_GB2312" w:hAnsi="仿宋_GB2312" w:eastAsia="仿宋_GB2312" w:cs="仿宋_GB2312"/>
              </w:rPr>
            </w:pPr>
            <w:r>
              <w:rPr>
                <w:rFonts w:hint="eastAsia" w:ascii="仿宋_GB2312" w:hAnsi="仿宋_GB2312" w:eastAsia="仿宋_GB2312" w:cs="仿宋_GB2312"/>
              </w:rPr>
              <w:t>4</w:t>
            </w:r>
          </w:p>
        </w:tc>
        <w:tc>
          <w:tcPr>
            <w:tcW w:w="1985" w:type="dxa"/>
          </w:tcPr>
          <w:p>
            <w:pPr>
              <w:widowControl/>
              <w:spacing w:line="270" w:lineRule="atLeast"/>
              <w:jc w:val="center"/>
              <w:rPr>
                <w:rFonts w:ascii="仿宋_GB2312" w:hAnsi="仿宋_GB2312" w:eastAsia="仿宋_GB2312" w:cs="仿宋_GB2312"/>
              </w:rPr>
            </w:pPr>
          </w:p>
        </w:tc>
        <w:tc>
          <w:tcPr>
            <w:tcW w:w="992" w:type="dxa"/>
            <w:vAlign w:val="center"/>
          </w:tcPr>
          <w:p>
            <w:pPr>
              <w:widowControl/>
              <w:spacing w:line="270" w:lineRule="atLeast"/>
              <w:jc w:val="center"/>
              <w:rPr>
                <w:rFonts w:ascii="仿宋_GB2312" w:hAnsi="仿宋_GB2312" w:eastAsia="仿宋_GB2312" w:cs="仿宋_GB2312"/>
              </w:rPr>
            </w:pPr>
            <w:r>
              <w:rPr>
                <w:rFonts w:hint="eastAsia" w:ascii="仿宋_GB2312" w:hAnsi="仿宋_GB2312" w:eastAsia="仿宋_GB2312" w:cs="仿宋_GB2312"/>
              </w:rPr>
              <w:t>注册证书复印件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601" w:hRule="atLeast"/>
        </w:trPr>
        <w:tc>
          <w:tcPr>
            <w:tcW w:w="1276" w:type="dxa"/>
            <w:vMerge w:val="continue"/>
            <w:shd w:val="clear" w:color="auto" w:fill="auto"/>
            <w:tcMar>
              <w:left w:w="108" w:type="dxa"/>
              <w:right w:w="108" w:type="dxa"/>
            </w:tcMar>
            <w:vAlign w:val="center"/>
          </w:tcPr>
          <w:p>
            <w:pPr>
              <w:jc w:val="left"/>
              <w:rPr>
                <w:rFonts w:ascii="仿宋_GB2312" w:hAnsi="仿宋_GB2312" w:eastAsia="仿宋_GB2312" w:cs="仿宋_GB2312"/>
              </w:rPr>
            </w:pPr>
          </w:p>
        </w:tc>
        <w:tc>
          <w:tcPr>
            <w:tcW w:w="1276" w:type="dxa"/>
            <w:shd w:val="clear" w:color="auto" w:fill="auto"/>
            <w:tcMar>
              <w:left w:w="108" w:type="dxa"/>
              <w:right w:w="108" w:type="dxa"/>
            </w:tcMar>
            <w:vAlign w:val="center"/>
          </w:tcPr>
          <w:p>
            <w:pPr>
              <w:widowControl/>
              <w:spacing w:line="270" w:lineRule="atLeast"/>
              <w:jc w:val="center"/>
              <w:rPr>
                <w:rFonts w:ascii="仿宋_GB2312" w:hAnsi="仿宋_GB2312" w:eastAsia="仿宋_GB2312" w:cs="仿宋_GB2312"/>
              </w:rPr>
            </w:pPr>
            <w:r>
              <w:rPr>
                <w:rFonts w:hint="eastAsia" w:ascii="仿宋_GB2312" w:hAnsi="仿宋_GB2312" w:eastAsia="仿宋_GB2312" w:cs="仿宋_GB2312"/>
              </w:rPr>
              <w:t>基本条件</w:t>
            </w:r>
          </w:p>
        </w:tc>
        <w:tc>
          <w:tcPr>
            <w:tcW w:w="3686" w:type="dxa"/>
            <w:shd w:val="clear" w:color="auto" w:fill="auto"/>
            <w:tcMar>
              <w:left w:w="108" w:type="dxa"/>
              <w:right w:w="108" w:type="dxa"/>
            </w:tcMar>
            <w:vAlign w:val="center"/>
          </w:tcPr>
          <w:p>
            <w:pPr>
              <w:rPr>
                <w:rFonts w:ascii="仿宋_GB2312" w:hAnsi="仿宋_GB2312" w:eastAsia="仿宋_GB2312" w:cs="仿宋_GB2312"/>
              </w:rPr>
            </w:pPr>
            <w:r>
              <w:rPr>
                <w:rFonts w:hint="eastAsia" w:ascii="仿宋_GB2312" w:hAnsi="仿宋_GB2312" w:eastAsia="仿宋_GB2312" w:cs="仿宋_GB2312"/>
              </w:rPr>
              <w:t>具有丰富的专业知识和工作经验</w:t>
            </w:r>
          </w:p>
          <w:p>
            <w:pPr>
              <w:pStyle w:val="13"/>
              <w:numPr>
                <w:ilvl w:val="0"/>
                <w:numId w:val="2"/>
              </w:numPr>
              <w:ind w:left="0" w:firstLine="0" w:firstLineChars="0"/>
              <w:rPr>
                <w:rFonts w:ascii="仿宋_GB2312" w:hAnsi="仿宋_GB2312" w:eastAsia="仿宋_GB2312" w:cs="仿宋_GB2312"/>
              </w:rPr>
            </w:pPr>
            <w:r>
              <w:rPr>
                <w:rFonts w:hint="eastAsia" w:ascii="仿宋_GB2312" w:hAnsi="仿宋_GB2312" w:eastAsia="仿宋_GB2312" w:cs="仿宋_GB2312"/>
              </w:rPr>
              <w:t>大专以上学历得1分，本科学历得1.5分，研究生及以上学历得2分；</w:t>
            </w:r>
          </w:p>
          <w:p>
            <w:pPr>
              <w:pStyle w:val="13"/>
              <w:numPr>
                <w:ilvl w:val="0"/>
                <w:numId w:val="2"/>
              </w:numPr>
              <w:ind w:left="0" w:firstLine="0" w:firstLineChars="0"/>
              <w:rPr>
                <w:rFonts w:ascii="仿宋_GB2312" w:hAnsi="仿宋_GB2312" w:eastAsia="仿宋_GB2312" w:cs="仿宋_GB2312"/>
              </w:rPr>
            </w:pPr>
            <w:r>
              <w:rPr>
                <w:rFonts w:hint="eastAsia" w:ascii="仿宋_GB2312" w:hAnsi="仿宋_GB2312" w:eastAsia="仿宋_GB2312" w:cs="仿宋_GB2312"/>
              </w:rPr>
              <w:t>取得高级或以上职称得1分；</w:t>
            </w:r>
          </w:p>
          <w:p>
            <w:pPr>
              <w:pStyle w:val="13"/>
              <w:numPr>
                <w:ilvl w:val="0"/>
                <w:numId w:val="2"/>
              </w:numPr>
              <w:ind w:left="0" w:firstLine="0" w:firstLineChars="0"/>
              <w:rPr>
                <w:rFonts w:ascii="仿宋_GB2312" w:hAnsi="仿宋_GB2312" w:eastAsia="仿宋_GB2312" w:cs="仿宋_GB2312"/>
              </w:rPr>
            </w:pPr>
            <w:r>
              <w:rPr>
                <w:rFonts w:hint="eastAsia" w:ascii="仿宋_GB2312" w:hAnsi="仿宋_GB2312" w:eastAsia="仿宋_GB2312" w:cs="仿宋_GB2312"/>
              </w:rPr>
              <w:t>取得造价工程师执业资格后，从业3年以内得8分，3年以上每满一年加0.3分；</w:t>
            </w:r>
          </w:p>
          <w:p>
            <w:pPr>
              <w:pStyle w:val="13"/>
              <w:numPr>
                <w:ilvl w:val="0"/>
                <w:numId w:val="2"/>
              </w:numPr>
              <w:ind w:left="0" w:firstLine="0" w:firstLineChars="0"/>
              <w:rPr>
                <w:rFonts w:ascii="仿宋_GB2312" w:hAnsi="仿宋_GB2312" w:eastAsia="仿宋_GB2312" w:cs="仿宋_GB2312"/>
              </w:rPr>
            </w:pPr>
            <w:r>
              <w:rPr>
                <w:rFonts w:hint="eastAsia" w:ascii="仿宋_GB2312" w:hAnsi="仿宋_GB2312" w:eastAsia="仿宋_GB2312" w:cs="仿宋_GB2312"/>
              </w:rPr>
              <w:t>满分为</w:t>
            </w:r>
            <w:r>
              <w:rPr>
                <w:rFonts w:ascii="仿宋_GB2312" w:hAnsi="仿宋_GB2312" w:eastAsia="仿宋_GB2312" w:cs="仿宋_GB2312"/>
              </w:rPr>
              <w:t>15</w:t>
            </w:r>
            <w:r>
              <w:rPr>
                <w:rFonts w:hint="eastAsia" w:ascii="仿宋_GB2312" w:hAnsi="仿宋_GB2312" w:eastAsia="仿宋_GB2312" w:cs="仿宋_GB2312"/>
              </w:rPr>
              <w:t>分。</w:t>
            </w:r>
          </w:p>
        </w:tc>
        <w:tc>
          <w:tcPr>
            <w:tcW w:w="708" w:type="dxa"/>
            <w:shd w:val="clear" w:color="auto" w:fill="auto"/>
            <w:tcMar>
              <w:left w:w="108" w:type="dxa"/>
              <w:right w:w="108" w:type="dxa"/>
            </w:tcMar>
            <w:vAlign w:val="center"/>
          </w:tcPr>
          <w:p>
            <w:pPr>
              <w:widowControl/>
              <w:spacing w:line="270" w:lineRule="atLeast"/>
              <w:jc w:val="center"/>
              <w:rPr>
                <w:rFonts w:ascii="仿宋_GB2312" w:hAnsi="仿宋_GB2312" w:eastAsia="仿宋_GB2312" w:cs="仿宋_GB2312"/>
              </w:rPr>
            </w:pPr>
            <w:r>
              <w:rPr>
                <w:rFonts w:hint="eastAsia" w:ascii="仿宋_GB2312" w:hAnsi="仿宋_GB2312" w:eastAsia="仿宋_GB2312" w:cs="仿宋_GB2312"/>
              </w:rPr>
              <w:t>15</w:t>
            </w:r>
          </w:p>
        </w:tc>
        <w:tc>
          <w:tcPr>
            <w:tcW w:w="1985" w:type="dxa"/>
          </w:tcPr>
          <w:p>
            <w:pPr>
              <w:widowControl/>
              <w:spacing w:line="270" w:lineRule="atLeast"/>
              <w:jc w:val="center"/>
              <w:rPr>
                <w:rFonts w:ascii="仿宋_GB2312" w:hAnsi="仿宋_GB2312" w:eastAsia="仿宋_GB2312" w:cs="仿宋_GB2312"/>
              </w:rPr>
            </w:pPr>
          </w:p>
        </w:tc>
        <w:tc>
          <w:tcPr>
            <w:tcW w:w="992" w:type="dxa"/>
            <w:vAlign w:val="center"/>
          </w:tcPr>
          <w:p>
            <w:pPr>
              <w:widowControl/>
              <w:spacing w:line="270" w:lineRule="atLeast"/>
              <w:jc w:val="center"/>
              <w:rPr>
                <w:rFonts w:ascii="仿宋_GB2312" w:hAnsi="仿宋_GB2312" w:eastAsia="仿宋_GB2312" w:cs="仿宋_GB2312"/>
              </w:rPr>
            </w:pPr>
            <w:r>
              <w:rPr>
                <w:rFonts w:hint="eastAsia" w:ascii="仿宋_GB2312" w:hAnsi="仿宋_GB2312" w:eastAsia="仿宋_GB2312" w:cs="仿宋_GB2312"/>
              </w:rPr>
              <w:t>学历证、职称证、资格证等复印件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993" w:hRule="atLeast"/>
        </w:trPr>
        <w:tc>
          <w:tcPr>
            <w:tcW w:w="1276" w:type="dxa"/>
            <w:vMerge w:val="continue"/>
            <w:shd w:val="clear" w:color="auto" w:fill="auto"/>
            <w:tcMar>
              <w:left w:w="108" w:type="dxa"/>
              <w:right w:w="108" w:type="dxa"/>
            </w:tcMar>
            <w:vAlign w:val="center"/>
          </w:tcPr>
          <w:p>
            <w:pPr>
              <w:jc w:val="left"/>
              <w:rPr>
                <w:rFonts w:ascii="仿宋_GB2312" w:hAnsi="仿宋_GB2312" w:eastAsia="仿宋_GB2312" w:cs="仿宋_GB2312"/>
                <w:color w:val="000000" w:themeColor="text1"/>
                <w14:textFill>
                  <w14:solidFill>
                    <w14:schemeClr w14:val="tx1"/>
                  </w14:solidFill>
                </w14:textFill>
              </w:rPr>
            </w:pPr>
          </w:p>
        </w:tc>
        <w:tc>
          <w:tcPr>
            <w:tcW w:w="1276" w:type="dxa"/>
            <w:shd w:val="clear" w:color="auto" w:fill="auto"/>
            <w:tcMar>
              <w:left w:w="108" w:type="dxa"/>
              <w:right w:w="108" w:type="dxa"/>
            </w:tcMar>
            <w:vAlign w:val="center"/>
          </w:tcPr>
          <w:p>
            <w:pPr>
              <w:widowControl/>
              <w:spacing w:line="270" w:lineRule="atLeast"/>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专业管理</w:t>
            </w:r>
          </w:p>
          <w:p>
            <w:pPr>
              <w:widowControl/>
              <w:spacing w:line="270" w:lineRule="atLeast"/>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能力</w:t>
            </w:r>
          </w:p>
        </w:tc>
        <w:tc>
          <w:tcPr>
            <w:tcW w:w="3686" w:type="dxa"/>
            <w:shd w:val="clear" w:color="auto" w:fill="auto"/>
            <w:tcMar>
              <w:left w:w="108" w:type="dxa"/>
              <w:right w:w="108" w:type="dxa"/>
            </w:tcMar>
            <w:vAlign w:val="center"/>
          </w:tcPr>
          <w:p>
            <w:pPr>
              <w:widowControl/>
              <w:spacing w:line="270" w:lineRule="atLeast"/>
              <w:jc w:val="lef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处理问题和沟通协调能力评价，由执业单位提供工作案例证明（组织、策划、协调、控制等能力的证明）得5分，案例内容详尽合理加2分，满分为7分。</w:t>
            </w:r>
          </w:p>
        </w:tc>
        <w:tc>
          <w:tcPr>
            <w:tcW w:w="708" w:type="dxa"/>
            <w:shd w:val="clear" w:color="auto" w:fill="auto"/>
            <w:tcMar>
              <w:left w:w="108" w:type="dxa"/>
              <w:right w:w="108" w:type="dxa"/>
            </w:tcMar>
            <w:vAlign w:val="center"/>
          </w:tcPr>
          <w:p>
            <w:pPr>
              <w:widowControl/>
              <w:spacing w:line="270" w:lineRule="atLeast"/>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7</w:t>
            </w:r>
          </w:p>
        </w:tc>
        <w:tc>
          <w:tcPr>
            <w:tcW w:w="1985" w:type="dxa"/>
          </w:tcPr>
          <w:p>
            <w:pPr>
              <w:widowControl/>
              <w:spacing w:line="270" w:lineRule="atLeast"/>
              <w:jc w:val="center"/>
              <w:rPr>
                <w:rFonts w:ascii="仿宋_GB2312" w:hAnsi="仿宋_GB2312" w:eastAsia="仿宋_GB2312" w:cs="仿宋_GB2312"/>
                <w:color w:val="000000" w:themeColor="text1"/>
                <w14:textFill>
                  <w14:solidFill>
                    <w14:schemeClr w14:val="tx1"/>
                  </w14:solidFill>
                </w14:textFill>
              </w:rPr>
            </w:pPr>
          </w:p>
        </w:tc>
        <w:tc>
          <w:tcPr>
            <w:tcW w:w="992" w:type="dxa"/>
            <w:vAlign w:val="center"/>
          </w:tcPr>
          <w:p>
            <w:pPr>
              <w:widowControl/>
              <w:spacing w:line="270" w:lineRule="atLeast"/>
              <w:jc w:val="center"/>
              <w:rPr>
                <w:rFonts w:ascii="仿宋_GB2312" w:hAnsi="仿宋_GB2312" w:eastAsia="仿宋_GB2312" w:cs="仿宋_GB2312"/>
              </w:rPr>
            </w:pPr>
            <w:r>
              <w:rPr>
                <w:rFonts w:hint="eastAsia" w:ascii="仿宋_GB2312" w:hAnsi="仿宋_GB2312" w:eastAsia="仿宋_GB2312" w:cs="仿宋_GB2312"/>
              </w:rPr>
              <w:t>执业单位工作案例证明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755" w:hRule="atLeast"/>
        </w:trPr>
        <w:tc>
          <w:tcPr>
            <w:tcW w:w="1276" w:type="dxa"/>
            <w:shd w:val="clear" w:color="auto" w:fill="auto"/>
            <w:tcMar>
              <w:left w:w="108" w:type="dxa"/>
              <w:right w:w="108" w:type="dxa"/>
            </w:tcMar>
            <w:vAlign w:val="center"/>
          </w:tcPr>
          <w:p>
            <w:pPr>
              <w:widowControl/>
              <w:spacing w:line="270" w:lineRule="atLeast"/>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（二）</w:t>
            </w:r>
          </w:p>
          <w:p>
            <w:pPr>
              <w:widowControl/>
              <w:spacing w:line="270" w:lineRule="atLeast"/>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工作业绩</w:t>
            </w:r>
          </w:p>
          <w:p>
            <w:pPr>
              <w:widowControl/>
              <w:spacing w:line="270" w:lineRule="atLeast"/>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45分</w:t>
            </w:r>
          </w:p>
        </w:tc>
        <w:tc>
          <w:tcPr>
            <w:tcW w:w="1276" w:type="dxa"/>
            <w:shd w:val="clear" w:color="auto" w:fill="auto"/>
            <w:tcMar>
              <w:left w:w="108" w:type="dxa"/>
              <w:right w:w="108" w:type="dxa"/>
            </w:tcMar>
            <w:vAlign w:val="center"/>
          </w:tcPr>
          <w:p>
            <w:pPr>
              <w:widowControl/>
              <w:spacing w:line="270" w:lineRule="atLeast"/>
              <w:jc w:val="lef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完成工程项目规模及复杂程度、个数、工程造价及本人所承担的工作</w:t>
            </w:r>
          </w:p>
        </w:tc>
        <w:tc>
          <w:tcPr>
            <w:tcW w:w="3686" w:type="dxa"/>
            <w:shd w:val="clear" w:color="auto" w:fill="auto"/>
            <w:tcMar>
              <w:left w:w="108" w:type="dxa"/>
              <w:right w:w="108" w:type="dxa"/>
            </w:tcMar>
            <w:vAlign w:val="center"/>
          </w:tcPr>
          <w:p>
            <w:pPr>
              <w:widowControl/>
              <w:spacing w:line="270" w:lineRule="atLeast"/>
              <w:jc w:val="lef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作为项目负责人，承担的项目工程情况，见附表</w:t>
            </w:r>
          </w:p>
        </w:tc>
        <w:tc>
          <w:tcPr>
            <w:tcW w:w="708" w:type="dxa"/>
            <w:shd w:val="clear" w:color="auto" w:fill="auto"/>
            <w:tcMar>
              <w:left w:w="108" w:type="dxa"/>
              <w:right w:w="108" w:type="dxa"/>
            </w:tcMar>
            <w:vAlign w:val="center"/>
          </w:tcPr>
          <w:p>
            <w:pPr>
              <w:widowControl/>
              <w:spacing w:line="270" w:lineRule="atLeast"/>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45</w:t>
            </w:r>
          </w:p>
        </w:tc>
        <w:tc>
          <w:tcPr>
            <w:tcW w:w="1985" w:type="dxa"/>
          </w:tcPr>
          <w:p>
            <w:pPr>
              <w:widowControl/>
              <w:spacing w:line="270" w:lineRule="atLeast"/>
              <w:jc w:val="center"/>
              <w:rPr>
                <w:rFonts w:ascii="仿宋_GB2312" w:hAnsi="仿宋_GB2312" w:eastAsia="仿宋_GB2312" w:cs="仿宋_GB2312"/>
                <w:color w:val="000000" w:themeColor="text1"/>
                <w14:textFill>
                  <w14:solidFill>
                    <w14:schemeClr w14:val="tx1"/>
                  </w14:solidFill>
                </w14:textFill>
              </w:rPr>
            </w:pPr>
          </w:p>
        </w:tc>
        <w:tc>
          <w:tcPr>
            <w:tcW w:w="992" w:type="dxa"/>
            <w:vAlign w:val="center"/>
          </w:tcPr>
          <w:p>
            <w:pPr>
              <w:widowControl/>
              <w:spacing w:line="270" w:lineRule="atLeast"/>
              <w:jc w:val="center"/>
              <w:rPr>
                <w:rFonts w:ascii="仿宋_GB2312" w:hAnsi="仿宋_GB2312" w:eastAsia="仿宋_GB2312" w:cs="仿宋_GB2312"/>
              </w:rPr>
            </w:pPr>
            <w:r>
              <w:rPr>
                <w:rFonts w:hint="eastAsia" w:ascii="仿宋_GB2312" w:hAnsi="仿宋_GB2312" w:eastAsia="仿宋_GB2312" w:cs="仿宋_GB2312"/>
              </w:rPr>
              <w:t>见附表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771" w:hRule="atLeast"/>
        </w:trPr>
        <w:tc>
          <w:tcPr>
            <w:tcW w:w="1276" w:type="dxa"/>
            <w:vMerge w:val="restart"/>
            <w:shd w:val="clear" w:color="auto" w:fill="auto"/>
            <w:tcMar>
              <w:left w:w="108" w:type="dxa"/>
              <w:right w:w="108" w:type="dxa"/>
            </w:tcMar>
            <w:vAlign w:val="center"/>
          </w:tcPr>
          <w:p>
            <w:pPr>
              <w:widowControl/>
              <w:spacing w:line="270" w:lineRule="atLeast"/>
              <w:jc w:val="center"/>
              <w:rPr>
                <w:rFonts w:ascii="仿宋_GB2312" w:hAnsi="仿宋_GB2312" w:eastAsia="仿宋_GB2312" w:cs="仿宋_GB2312"/>
                <w:color w:val="FF0000"/>
              </w:rPr>
            </w:pPr>
            <w:r>
              <w:rPr>
                <w:rFonts w:hint="eastAsia" w:ascii="仿宋_GB2312" w:hAnsi="仿宋_GB2312" w:eastAsia="仿宋_GB2312" w:cs="仿宋_GB2312"/>
                <w:color w:val="000000" w:themeColor="text1"/>
                <w14:textFill>
                  <w14:solidFill>
                    <w14:schemeClr w14:val="tx1"/>
                  </w14:solidFill>
                </w14:textFill>
              </w:rPr>
              <w:t>（三）咨询成果质量18分</w:t>
            </w:r>
          </w:p>
          <w:p>
            <w:pPr>
              <w:widowControl/>
              <w:spacing w:line="270" w:lineRule="atLeast"/>
              <w:jc w:val="center"/>
              <w:rPr>
                <w:rFonts w:ascii="仿宋_GB2312" w:hAnsi="仿宋_GB2312" w:eastAsia="仿宋_GB2312" w:cs="仿宋_GB2312"/>
              </w:rPr>
            </w:pPr>
          </w:p>
        </w:tc>
        <w:tc>
          <w:tcPr>
            <w:tcW w:w="1276" w:type="dxa"/>
            <w:shd w:val="clear" w:color="auto" w:fill="auto"/>
            <w:tcMar>
              <w:left w:w="108" w:type="dxa"/>
              <w:right w:w="108" w:type="dxa"/>
            </w:tcMar>
            <w:vAlign w:val="center"/>
          </w:tcPr>
          <w:p>
            <w:pPr>
              <w:widowControl/>
              <w:spacing w:line="270" w:lineRule="atLeast"/>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咨询成果</w:t>
            </w:r>
          </w:p>
          <w:p>
            <w:pPr>
              <w:widowControl/>
              <w:spacing w:line="270" w:lineRule="atLeast"/>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规范性、</w:t>
            </w:r>
          </w:p>
          <w:p>
            <w:pPr>
              <w:widowControl/>
              <w:spacing w:line="270" w:lineRule="atLeast"/>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准确性</w:t>
            </w:r>
          </w:p>
        </w:tc>
        <w:tc>
          <w:tcPr>
            <w:tcW w:w="3686" w:type="dxa"/>
            <w:shd w:val="clear" w:color="auto" w:fill="auto"/>
            <w:tcMar>
              <w:left w:w="108" w:type="dxa"/>
              <w:right w:w="108" w:type="dxa"/>
            </w:tcMar>
            <w:vAlign w:val="center"/>
          </w:tcPr>
          <w:p>
            <w:pPr>
              <w:widowControl/>
              <w:spacing w:line="270" w:lineRule="atLeast"/>
              <w:jc w:val="lef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咨询成果客观、公正。计价行为要符合国家、自治区相关计价规范、文件规定，符合建设工程造价咨询规范成果要求的得0-5分。</w:t>
            </w:r>
          </w:p>
          <w:p>
            <w:pPr>
              <w:widowControl/>
              <w:spacing w:line="270" w:lineRule="atLeast"/>
              <w:jc w:val="lef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造价成果文件的整体质量，得0-5分。满分为10分。</w:t>
            </w:r>
          </w:p>
        </w:tc>
        <w:tc>
          <w:tcPr>
            <w:tcW w:w="708" w:type="dxa"/>
            <w:shd w:val="clear" w:color="auto" w:fill="auto"/>
            <w:tcMar>
              <w:left w:w="108" w:type="dxa"/>
              <w:right w:w="108" w:type="dxa"/>
            </w:tcMar>
            <w:vAlign w:val="center"/>
          </w:tcPr>
          <w:p>
            <w:pPr>
              <w:widowControl/>
              <w:spacing w:line="270" w:lineRule="atLeast"/>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10</w:t>
            </w:r>
          </w:p>
        </w:tc>
        <w:tc>
          <w:tcPr>
            <w:tcW w:w="1985" w:type="dxa"/>
          </w:tcPr>
          <w:p>
            <w:pPr>
              <w:widowControl/>
              <w:spacing w:line="270" w:lineRule="atLeast"/>
              <w:jc w:val="center"/>
              <w:rPr>
                <w:rFonts w:ascii="仿宋_GB2312" w:hAnsi="仿宋_GB2312" w:eastAsia="仿宋_GB2312" w:cs="仿宋_GB2312"/>
                <w:color w:val="000000" w:themeColor="text1"/>
                <w14:textFill>
                  <w14:solidFill>
                    <w14:schemeClr w14:val="tx1"/>
                  </w14:solidFill>
                </w14:textFill>
              </w:rPr>
            </w:pPr>
          </w:p>
        </w:tc>
        <w:tc>
          <w:tcPr>
            <w:tcW w:w="992" w:type="dxa"/>
            <w:vAlign w:val="center"/>
          </w:tcPr>
          <w:p>
            <w:pPr>
              <w:widowControl/>
              <w:spacing w:line="270" w:lineRule="atLeast"/>
              <w:jc w:val="center"/>
              <w:rPr>
                <w:rFonts w:ascii="仿宋_GB2312" w:hAnsi="仿宋_GB2312" w:eastAsia="仿宋_GB2312" w:cs="仿宋_GB2312"/>
              </w:rPr>
            </w:pPr>
            <w:r>
              <w:rPr>
                <w:rFonts w:hint="eastAsia" w:ascii="仿宋_GB2312" w:hAnsi="仿宋_GB2312" w:eastAsia="仿宋_GB2312" w:cs="仿宋_GB2312"/>
              </w:rPr>
              <w:t>成果文件原件（评审结束返还）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159" w:hRule="atLeast"/>
        </w:trPr>
        <w:tc>
          <w:tcPr>
            <w:tcW w:w="1276" w:type="dxa"/>
            <w:vMerge w:val="continue"/>
            <w:shd w:val="clear" w:color="auto" w:fill="auto"/>
            <w:tcMar>
              <w:left w:w="108" w:type="dxa"/>
              <w:right w:w="108" w:type="dxa"/>
            </w:tcMar>
            <w:vAlign w:val="center"/>
          </w:tcPr>
          <w:p>
            <w:pPr>
              <w:jc w:val="left"/>
              <w:rPr>
                <w:rFonts w:ascii="仿宋_GB2312" w:hAnsi="仿宋_GB2312" w:eastAsia="仿宋_GB2312" w:cs="仿宋_GB2312"/>
                <w:color w:val="000000" w:themeColor="text1"/>
                <w14:textFill>
                  <w14:solidFill>
                    <w14:schemeClr w14:val="tx1"/>
                  </w14:solidFill>
                </w14:textFill>
              </w:rPr>
            </w:pPr>
          </w:p>
        </w:tc>
        <w:tc>
          <w:tcPr>
            <w:tcW w:w="1276" w:type="dxa"/>
            <w:shd w:val="clear" w:color="auto" w:fill="auto"/>
            <w:tcMar>
              <w:left w:w="108" w:type="dxa"/>
              <w:right w:w="108" w:type="dxa"/>
            </w:tcMar>
            <w:vAlign w:val="center"/>
          </w:tcPr>
          <w:p>
            <w:pPr>
              <w:widowControl/>
              <w:spacing w:line="270" w:lineRule="atLeast"/>
              <w:jc w:val="lef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咨询成果</w:t>
            </w:r>
          </w:p>
          <w:p>
            <w:pPr>
              <w:widowControl/>
              <w:spacing w:line="270" w:lineRule="atLeast"/>
              <w:jc w:val="lef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内容完整</w:t>
            </w:r>
          </w:p>
        </w:tc>
        <w:tc>
          <w:tcPr>
            <w:tcW w:w="3686" w:type="dxa"/>
            <w:shd w:val="clear" w:color="auto" w:fill="auto"/>
            <w:tcMar>
              <w:left w:w="108" w:type="dxa"/>
              <w:right w:w="108" w:type="dxa"/>
            </w:tcMar>
            <w:vAlign w:val="center"/>
          </w:tcPr>
          <w:p>
            <w:pPr>
              <w:widowControl/>
              <w:spacing w:line="270" w:lineRule="atLeast"/>
              <w:jc w:val="lef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咨询成果内容、工程概况、审核/编制范围、审核/编制依据、送审工程结算金额（若有）、审核/编制金额、核减（增）金额及其主要原因等表述齐全，依据内容的完整程度得0-5分。满分为5分。</w:t>
            </w:r>
          </w:p>
        </w:tc>
        <w:tc>
          <w:tcPr>
            <w:tcW w:w="708" w:type="dxa"/>
            <w:shd w:val="clear" w:color="auto" w:fill="auto"/>
            <w:tcMar>
              <w:left w:w="108" w:type="dxa"/>
              <w:right w:w="108" w:type="dxa"/>
            </w:tcMar>
            <w:vAlign w:val="center"/>
          </w:tcPr>
          <w:p>
            <w:pPr>
              <w:widowControl/>
              <w:spacing w:line="270" w:lineRule="atLeast"/>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5</w:t>
            </w:r>
          </w:p>
        </w:tc>
        <w:tc>
          <w:tcPr>
            <w:tcW w:w="1985" w:type="dxa"/>
          </w:tcPr>
          <w:p>
            <w:pPr>
              <w:widowControl/>
              <w:spacing w:line="270" w:lineRule="atLeast"/>
              <w:jc w:val="center"/>
              <w:rPr>
                <w:rFonts w:ascii="仿宋_GB2312" w:hAnsi="仿宋_GB2312" w:eastAsia="仿宋_GB2312" w:cs="仿宋_GB2312"/>
                <w:color w:val="000000" w:themeColor="text1"/>
                <w14:textFill>
                  <w14:solidFill>
                    <w14:schemeClr w14:val="tx1"/>
                  </w14:solidFill>
                </w14:textFill>
              </w:rPr>
            </w:pPr>
          </w:p>
        </w:tc>
        <w:tc>
          <w:tcPr>
            <w:tcW w:w="992" w:type="dxa"/>
            <w:vAlign w:val="center"/>
          </w:tcPr>
          <w:p>
            <w:pPr>
              <w:widowControl/>
              <w:spacing w:line="270" w:lineRule="atLeast"/>
              <w:jc w:val="center"/>
              <w:rPr>
                <w:rFonts w:ascii="仿宋_GB2312" w:hAnsi="仿宋_GB2312" w:eastAsia="仿宋_GB2312" w:cs="仿宋_GB2312"/>
              </w:rPr>
            </w:pPr>
            <w:r>
              <w:rPr>
                <w:rFonts w:hint="eastAsia" w:ascii="仿宋_GB2312" w:hAnsi="仿宋_GB2312" w:eastAsia="仿宋_GB2312" w:cs="仿宋_GB2312"/>
              </w:rPr>
              <w:t>成果文件原件（评审结束返还）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24" w:hRule="atLeast"/>
        </w:trPr>
        <w:tc>
          <w:tcPr>
            <w:tcW w:w="1276" w:type="dxa"/>
            <w:vMerge w:val="continue"/>
            <w:shd w:val="clear" w:color="auto" w:fill="auto"/>
            <w:tcMar>
              <w:left w:w="108" w:type="dxa"/>
              <w:right w:w="108" w:type="dxa"/>
            </w:tcMar>
            <w:vAlign w:val="center"/>
          </w:tcPr>
          <w:p>
            <w:pPr>
              <w:jc w:val="left"/>
              <w:rPr>
                <w:rFonts w:ascii="仿宋_GB2312" w:hAnsi="仿宋_GB2312" w:eastAsia="仿宋_GB2312" w:cs="仿宋_GB2312"/>
                <w:color w:val="000000" w:themeColor="text1"/>
                <w14:textFill>
                  <w14:solidFill>
                    <w14:schemeClr w14:val="tx1"/>
                  </w14:solidFill>
                </w14:textFill>
              </w:rPr>
            </w:pPr>
          </w:p>
        </w:tc>
        <w:tc>
          <w:tcPr>
            <w:tcW w:w="1276" w:type="dxa"/>
            <w:shd w:val="clear" w:color="auto" w:fill="auto"/>
            <w:tcMar>
              <w:left w:w="108" w:type="dxa"/>
              <w:right w:w="108" w:type="dxa"/>
            </w:tcMar>
            <w:vAlign w:val="center"/>
          </w:tcPr>
          <w:p>
            <w:pPr>
              <w:widowControl/>
              <w:spacing w:line="270" w:lineRule="atLeast"/>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信息化</w:t>
            </w:r>
          </w:p>
          <w:p>
            <w:pPr>
              <w:widowControl/>
              <w:spacing w:line="270" w:lineRule="atLeast"/>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提升</w:t>
            </w:r>
          </w:p>
        </w:tc>
        <w:tc>
          <w:tcPr>
            <w:tcW w:w="3686" w:type="dxa"/>
            <w:shd w:val="clear" w:color="auto" w:fill="auto"/>
            <w:tcMar>
              <w:left w:w="108" w:type="dxa"/>
              <w:right w:w="108" w:type="dxa"/>
            </w:tcMar>
            <w:vAlign w:val="center"/>
          </w:tcPr>
          <w:p>
            <w:pP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对于在造价管理过程中使用信息化手段提升造价管理水平的给予0-</w:t>
            </w:r>
            <w:r>
              <w:rPr>
                <w:rFonts w:ascii="仿宋_GB2312" w:hAnsi="仿宋_GB2312" w:eastAsia="仿宋_GB2312" w:cs="仿宋_GB2312"/>
                <w:color w:val="000000" w:themeColor="text1"/>
                <w14:textFill>
                  <w14:solidFill>
                    <w14:schemeClr w14:val="tx1"/>
                  </w14:solidFill>
                </w14:textFill>
              </w:rPr>
              <w:t>3</w:t>
            </w:r>
            <w:r>
              <w:rPr>
                <w:rFonts w:hint="eastAsia" w:ascii="仿宋_GB2312" w:hAnsi="仿宋_GB2312" w:eastAsia="仿宋_GB2312" w:cs="仿宋_GB2312"/>
                <w:color w:val="000000" w:themeColor="text1"/>
                <w14:textFill>
                  <w14:solidFill>
                    <w14:schemeClr w14:val="tx1"/>
                  </w14:solidFill>
                </w14:textFill>
              </w:rPr>
              <w:t>分。满分为</w:t>
            </w:r>
            <w:r>
              <w:rPr>
                <w:rFonts w:ascii="仿宋_GB2312" w:hAnsi="仿宋_GB2312" w:eastAsia="仿宋_GB2312" w:cs="仿宋_GB2312"/>
                <w:color w:val="000000" w:themeColor="text1"/>
                <w14:textFill>
                  <w14:solidFill>
                    <w14:schemeClr w14:val="tx1"/>
                  </w14:solidFill>
                </w14:textFill>
              </w:rPr>
              <w:t>3</w:t>
            </w:r>
            <w:r>
              <w:rPr>
                <w:rFonts w:hint="eastAsia" w:ascii="仿宋_GB2312" w:hAnsi="仿宋_GB2312" w:eastAsia="仿宋_GB2312" w:cs="仿宋_GB2312"/>
                <w:color w:val="000000" w:themeColor="text1"/>
                <w14:textFill>
                  <w14:solidFill>
                    <w14:schemeClr w14:val="tx1"/>
                  </w14:solidFill>
                </w14:textFill>
              </w:rPr>
              <w:t>分。</w:t>
            </w:r>
          </w:p>
        </w:tc>
        <w:tc>
          <w:tcPr>
            <w:tcW w:w="708" w:type="dxa"/>
            <w:shd w:val="clear" w:color="auto" w:fill="auto"/>
            <w:tcMar>
              <w:left w:w="108" w:type="dxa"/>
              <w:right w:w="108" w:type="dxa"/>
            </w:tcMar>
            <w:vAlign w:val="center"/>
          </w:tcPr>
          <w:p>
            <w:pPr>
              <w:widowControl/>
              <w:spacing w:line="270" w:lineRule="atLeast"/>
              <w:jc w:val="center"/>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3</w:t>
            </w:r>
          </w:p>
        </w:tc>
        <w:tc>
          <w:tcPr>
            <w:tcW w:w="1985" w:type="dxa"/>
          </w:tcPr>
          <w:p>
            <w:pPr>
              <w:widowControl/>
              <w:spacing w:line="270" w:lineRule="atLeast"/>
              <w:jc w:val="center"/>
              <w:rPr>
                <w:rFonts w:ascii="仿宋_GB2312" w:hAnsi="仿宋_GB2312" w:eastAsia="仿宋_GB2312" w:cs="仿宋_GB2312"/>
                <w:color w:val="000000" w:themeColor="text1"/>
                <w14:textFill>
                  <w14:solidFill>
                    <w14:schemeClr w14:val="tx1"/>
                  </w14:solidFill>
                </w14:textFill>
              </w:rPr>
            </w:pPr>
          </w:p>
        </w:tc>
        <w:tc>
          <w:tcPr>
            <w:tcW w:w="992" w:type="dxa"/>
          </w:tcPr>
          <w:p>
            <w:pPr>
              <w:widowControl/>
              <w:spacing w:line="270" w:lineRule="atLeast"/>
              <w:jc w:val="center"/>
              <w:rPr>
                <w:rFonts w:ascii="仿宋_GB2312" w:hAnsi="仿宋_GB2312" w:eastAsia="仿宋_GB2312" w:cs="仿宋_GB2312"/>
              </w:rPr>
            </w:pPr>
            <w:r>
              <w:rPr>
                <w:rFonts w:hint="eastAsia" w:ascii="仿宋_GB2312" w:hAnsi="仿宋_GB2312" w:eastAsia="仿宋_GB2312" w:cs="仿宋_GB2312"/>
              </w:rPr>
              <w:t>成果文件原件（评审结束返还）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082" w:hRule="atLeast"/>
        </w:trPr>
        <w:tc>
          <w:tcPr>
            <w:tcW w:w="1276" w:type="dxa"/>
            <w:shd w:val="clear" w:color="auto" w:fill="auto"/>
            <w:tcMar>
              <w:left w:w="108" w:type="dxa"/>
              <w:right w:w="108" w:type="dxa"/>
            </w:tcMar>
            <w:vAlign w:val="center"/>
          </w:tcPr>
          <w:p>
            <w:pPr>
              <w:widowControl/>
              <w:spacing w:line="270" w:lineRule="atLeast"/>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（四）</w:t>
            </w:r>
          </w:p>
          <w:p>
            <w:pPr>
              <w:widowControl/>
              <w:spacing w:line="270" w:lineRule="atLeast"/>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获奖、论文、参与行业规范标准的制定</w:t>
            </w:r>
          </w:p>
          <w:p>
            <w:pPr>
              <w:widowControl/>
              <w:spacing w:line="270" w:lineRule="atLeast"/>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5分</w:t>
            </w:r>
          </w:p>
        </w:tc>
        <w:tc>
          <w:tcPr>
            <w:tcW w:w="1276" w:type="dxa"/>
            <w:shd w:val="clear" w:color="auto" w:fill="auto"/>
            <w:tcMar>
              <w:left w:w="108" w:type="dxa"/>
              <w:right w:w="108" w:type="dxa"/>
            </w:tcMar>
            <w:vAlign w:val="center"/>
          </w:tcPr>
          <w:p>
            <w:pPr>
              <w:widowControl/>
              <w:spacing w:line="270" w:lineRule="atLeast"/>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获奖、论文、参与行业规范标准的制定</w:t>
            </w:r>
          </w:p>
        </w:tc>
        <w:tc>
          <w:tcPr>
            <w:tcW w:w="3686" w:type="dxa"/>
            <w:shd w:val="clear" w:color="auto" w:fill="auto"/>
            <w:tcMar>
              <w:left w:w="108" w:type="dxa"/>
              <w:right w:w="108" w:type="dxa"/>
            </w:tcMar>
            <w:vAlign w:val="center"/>
          </w:tcPr>
          <w:p>
            <w:pP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1.以本年度发表的论文、著作作为考核指标，出版造价专业著作得</w:t>
            </w:r>
            <w:r>
              <w:rPr>
                <w:rFonts w:ascii="仿宋_GB2312" w:hAnsi="仿宋_GB2312" w:eastAsia="仿宋_GB2312" w:cs="仿宋_GB2312"/>
                <w:color w:val="000000" w:themeColor="text1"/>
                <w14:textFill>
                  <w14:solidFill>
                    <w14:schemeClr w14:val="tx1"/>
                  </w14:solidFill>
                </w14:textFill>
              </w:rPr>
              <w:t>1</w:t>
            </w:r>
            <w:r>
              <w:rPr>
                <w:rFonts w:hint="eastAsia" w:ascii="仿宋_GB2312" w:hAnsi="仿宋_GB2312" w:eastAsia="仿宋_GB2312" w:cs="仿宋_GB2312"/>
                <w:color w:val="000000" w:themeColor="text1"/>
                <w14:textFill>
                  <w14:solidFill>
                    <w14:schemeClr w14:val="tx1"/>
                  </w14:solidFill>
                </w14:textFill>
              </w:rPr>
              <w:t>分，在国家级期刊发表的论文每篇得1分，自治区级期刊发表的论文每篇得0.5分,此项最多得2分。</w:t>
            </w:r>
          </w:p>
          <w:p>
            <w:pPr>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2.</w:t>
            </w:r>
            <w:r>
              <w:rPr>
                <w:rFonts w:hint="eastAsia" w:ascii="仿宋_GB2312" w:hAnsi="仿宋_GB2312" w:eastAsia="仿宋_GB2312" w:cs="仿宋_GB2312"/>
                <w:color w:val="000000" w:themeColor="text1"/>
                <w14:textFill>
                  <w14:solidFill>
                    <w14:schemeClr w14:val="tx1"/>
                  </w14:solidFill>
                </w14:textFill>
              </w:rPr>
              <w:t>本年度或上一年度获得国家级奖励得1分，自治区级奖励得0.5分，此项最多得1.5分。</w:t>
            </w:r>
          </w:p>
          <w:p>
            <w:pPr>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3.</w:t>
            </w:r>
            <w:r>
              <w:rPr>
                <w:rFonts w:hint="eastAsia" w:ascii="仿宋_GB2312" w:hAnsi="仿宋_GB2312" w:eastAsia="仿宋_GB2312" w:cs="仿宋_GB2312"/>
                <w:color w:val="000000" w:themeColor="text1"/>
                <w14:textFill>
                  <w14:solidFill>
                    <w14:schemeClr w14:val="tx1"/>
                  </w14:solidFill>
                </w14:textFill>
              </w:rPr>
              <w:t>参与国家行业计价规范编制工作的得1分，参与自治区行业计价规范编制工作的得0.5分，此项最多得1.5分。</w:t>
            </w:r>
          </w:p>
          <w:p>
            <w:pPr>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5.</w:t>
            </w:r>
            <w:r>
              <w:rPr>
                <w:rFonts w:hint="eastAsia" w:ascii="仿宋_GB2312" w:hAnsi="仿宋_GB2312" w:eastAsia="仿宋_GB2312" w:cs="仿宋_GB2312"/>
                <w:color w:val="000000" w:themeColor="text1"/>
                <w14:textFill>
                  <w14:solidFill>
                    <w14:schemeClr w14:val="tx1"/>
                  </w14:solidFill>
                </w14:textFill>
              </w:rPr>
              <w:t>满分为</w:t>
            </w:r>
            <w:r>
              <w:rPr>
                <w:rFonts w:ascii="仿宋_GB2312" w:hAnsi="仿宋_GB2312" w:eastAsia="仿宋_GB2312" w:cs="仿宋_GB2312"/>
                <w:color w:val="000000" w:themeColor="text1"/>
                <w14:textFill>
                  <w14:solidFill>
                    <w14:schemeClr w14:val="tx1"/>
                  </w14:solidFill>
                </w14:textFill>
              </w:rPr>
              <w:t>5</w:t>
            </w:r>
            <w:r>
              <w:rPr>
                <w:rFonts w:hint="eastAsia" w:ascii="仿宋_GB2312" w:hAnsi="仿宋_GB2312" w:eastAsia="仿宋_GB2312" w:cs="仿宋_GB2312"/>
                <w:color w:val="000000" w:themeColor="text1"/>
                <w14:textFill>
                  <w14:solidFill>
                    <w14:schemeClr w14:val="tx1"/>
                  </w14:solidFill>
                </w14:textFill>
              </w:rPr>
              <w:t>分。</w:t>
            </w:r>
          </w:p>
        </w:tc>
        <w:tc>
          <w:tcPr>
            <w:tcW w:w="708" w:type="dxa"/>
            <w:shd w:val="clear" w:color="auto" w:fill="auto"/>
            <w:tcMar>
              <w:left w:w="108" w:type="dxa"/>
              <w:right w:w="108" w:type="dxa"/>
            </w:tcMar>
            <w:vAlign w:val="center"/>
          </w:tcPr>
          <w:p>
            <w:pPr>
              <w:widowControl/>
              <w:spacing w:line="270" w:lineRule="atLeast"/>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5</w:t>
            </w:r>
          </w:p>
        </w:tc>
        <w:tc>
          <w:tcPr>
            <w:tcW w:w="1985" w:type="dxa"/>
          </w:tcPr>
          <w:p>
            <w:pPr>
              <w:widowControl/>
              <w:spacing w:line="270" w:lineRule="atLeast"/>
              <w:jc w:val="center"/>
              <w:rPr>
                <w:rFonts w:ascii="仿宋_GB2312" w:hAnsi="仿宋_GB2312" w:eastAsia="仿宋_GB2312" w:cs="仿宋_GB2312"/>
                <w:color w:val="000000" w:themeColor="text1"/>
                <w14:textFill>
                  <w14:solidFill>
                    <w14:schemeClr w14:val="tx1"/>
                  </w14:solidFill>
                </w14:textFill>
              </w:rPr>
            </w:pPr>
          </w:p>
        </w:tc>
        <w:tc>
          <w:tcPr>
            <w:tcW w:w="992" w:type="dxa"/>
            <w:vAlign w:val="center"/>
          </w:tcPr>
          <w:p>
            <w:pPr>
              <w:widowControl/>
              <w:spacing w:line="270" w:lineRule="atLeast"/>
              <w:jc w:val="center"/>
              <w:rPr>
                <w:rFonts w:ascii="仿宋_GB2312" w:hAnsi="仿宋_GB2312" w:eastAsia="仿宋_GB2312" w:cs="仿宋_GB2312"/>
              </w:rPr>
            </w:pPr>
            <w:r>
              <w:rPr>
                <w:rFonts w:hint="eastAsia" w:ascii="仿宋_GB2312" w:hAnsi="仿宋_GB2312" w:eastAsia="仿宋_GB2312" w:cs="仿宋_GB2312"/>
              </w:rPr>
              <w:t>论文、著作、奖项复印件以及参与制定的证明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044" w:hRule="atLeast"/>
        </w:trPr>
        <w:tc>
          <w:tcPr>
            <w:tcW w:w="1276" w:type="dxa"/>
            <w:shd w:val="clear" w:color="auto" w:fill="auto"/>
            <w:tcMar>
              <w:left w:w="108" w:type="dxa"/>
              <w:right w:w="108" w:type="dxa"/>
            </w:tcMar>
            <w:vAlign w:val="center"/>
          </w:tcPr>
          <w:p>
            <w:pPr>
              <w:widowControl/>
              <w:spacing w:line="270" w:lineRule="atLeast"/>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（五）支持行业协会</w:t>
            </w:r>
          </w:p>
          <w:p>
            <w:pPr>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2分</w:t>
            </w:r>
          </w:p>
        </w:tc>
        <w:tc>
          <w:tcPr>
            <w:tcW w:w="1276" w:type="dxa"/>
            <w:shd w:val="clear" w:color="auto" w:fill="auto"/>
            <w:tcMar>
              <w:left w:w="108" w:type="dxa"/>
              <w:right w:w="108" w:type="dxa"/>
            </w:tcMar>
            <w:vAlign w:val="center"/>
          </w:tcPr>
          <w:p>
            <w:pPr>
              <w:widowControl/>
              <w:spacing w:line="270" w:lineRule="atLeast"/>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行业协会</w:t>
            </w:r>
          </w:p>
          <w:p>
            <w:pPr>
              <w:widowControl/>
              <w:spacing w:line="270" w:lineRule="atLeast"/>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工作</w:t>
            </w:r>
          </w:p>
        </w:tc>
        <w:tc>
          <w:tcPr>
            <w:tcW w:w="3686" w:type="dxa"/>
            <w:shd w:val="clear" w:color="auto" w:fill="auto"/>
            <w:tcMar>
              <w:left w:w="108" w:type="dxa"/>
              <w:right w:w="108" w:type="dxa"/>
            </w:tcMar>
            <w:vAlign w:val="center"/>
          </w:tcPr>
          <w:p>
            <w:pPr>
              <w:widowControl/>
              <w:spacing w:line="270" w:lineRule="atLeast"/>
              <w:jc w:val="lef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参加内蒙古自治区工程建设协会会议、培训、专题研讨、评审等工作每次得0.5分，最多得2分；满分为2分</w:t>
            </w:r>
          </w:p>
        </w:tc>
        <w:tc>
          <w:tcPr>
            <w:tcW w:w="708" w:type="dxa"/>
            <w:shd w:val="clear" w:color="auto" w:fill="auto"/>
            <w:tcMar>
              <w:left w:w="108" w:type="dxa"/>
              <w:right w:w="108" w:type="dxa"/>
            </w:tcMar>
            <w:vAlign w:val="center"/>
          </w:tcPr>
          <w:p>
            <w:pPr>
              <w:widowControl/>
              <w:spacing w:line="270" w:lineRule="atLeast"/>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2</w:t>
            </w:r>
          </w:p>
        </w:tc>
        <w:tc>
          <w:tcPr>
            <w:tcW w:w="1985" w:type="dxa"/>
          </w:tcPr>
          <w:p>
            <w:pPr>
              <w:widowControl/>
              <w:spacing w:line="270" w:lineRule="atLeast"/>
              <w:jc w:val="center"/>
              <w:rPr>
                <w:rFonts w:ascii="仿宋_GB2312" w:hAnsi="仿宋_GB2312" w:eastAsia="仿宋_GB2312" w:cs="仿宋_GB2312"/>
                <w:color w:val="000000" w:themeColor="text1"/>
                <w14:textFill>
                  <w14:solidFill>
                    <w14:schemeClr w14:val="tx1"/>
                  </w14:solidFill>
                </w14:textFill>
              </w:rPr>
            </w:pPr>
          </w:p>
        </w:tc>
        <w:tc>
          <w:tcPr>
            <w:tcW w:w="992" w:type="dxa"/>
            <w:vAlign w:val="center"/>
          </w:tcPr>
          <w:p>
            <w:pPr>
              <w:widowControl/>
              <w:spacing w:line="270" w:lineRule="atLeast"/>
              <w:jc w:val="center"/>
              <w:rPr>
                <w:rFonts w:ascii="仿宋_GB2312" w:hAnsi="仿宋_GB2312" w:eastAsia="仿宋_GB2312" w:cs="仿宋_GB2312"/>
              </w:rPr>
            </w:pPr>
            <w:r>
              <w:rPr>
                <w:rFonts w:hint="eastAsia" w:ascii="仿宋_GB2312" w:hAnsi="仿宋_GB2312" w:eastAsia="仿宋_GB2312" w:cs="仿宋_GB2312"/>
              </w:rPr>
              <w:t>会议回执</w:t>
            </w:r>
          </w:p>
          <w:p>
            <w:pPr>
              <w:widowControl/>
              <w:spacing w:line="270" w:lineRule="atLeast"/>
              <w:jc w:val="center"/>
              <w:rPr>
                <w:rFonts w:ascii="仿宋_GB2312" w:hAnsi="仿宋_GB2312" w:eastAsia="仿宋_GB2312" w:cs="仿宋_GB2312"/>
              </w:rPr>
            </w:pPr>
            <w:r>
              <w:rPr>
                <w:rFonts w:hint="eastAsia" w:ascii="仿宋_GB2312" w:hAnsi="仿宋_GB2312" w:eastAsia="仿宋_GB2312" w:cs="仿宋_GB2312"/>
              </w:rPr>
              <w:t>学时证明</w:t>
            </w:r>
          </w:p>
          <w:p>
            <w:pPr>
              <w:widowControl/>
              <w:spacing w:line="270" w:lineRule="atLeast"/>
              <w:jc w:val="center"/>
              <w:rPr>
                <w:rFonts w:ascii="仿宋_GB2312" w:hAnsi="仿宋_GB2312" w:eastAsia="仿宋_GB2312" w:cs="仿宋_GB2312"/>
              </w:rPr>
            </w:pPr>
            <w:r>
              <w:rPr>
                <w:rFonts w:hint="eastAsia" w:ascii="仿宋_GB2312" w:hAnsi="仿宋_GB2312" w:eastAsia="仿宋_GB2312" w:cs="仿宋_GB2312"/>
              </w:rPr>
              <w:t>评审通知或提供</w:t>
            </w:r>
          </w:p>
          <w:p>
            <w:pPr>
              <w:widowControl/>
              <w:spacing w:line="270" w:lineRule="atLeast"/>
              <w:jc w:val="center"/>
              <w:rPr>
                <w:rFonts w:ascii="仿宋_GB2312" w:hAnsi="仿宋_GB2312" w:eastAsia="仿宋_GB2312" w:cs="仿宋_GB2312"/>
              </w:rPr>
            </w:pPr>
            <w:r>
              <w:rPr>
                <w:rFonts w:hint="eastAsia" w:ascii="仿宋_GB2312" w:hAnsi="仿宋_GB2312" w:eastAsia="仿宋_GB2312" w:cs="仿宋_GB2312"/>
              </w:rPr>
              <w:t>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65" w:hRule="atLeast"/>
        </w:trPr>
        <w:tc>
          <w:tcPr>
            <w:tcW w:w="1276" w:type="dxa"/>
            <w:shd w:val="clear" w:color="auto" w:fill="auto"/>
            <w:tcMar>
              <w:left w:w="108" w:type="dxa"/>
              <w:right w:w="108" w:type="dxa"/>
            </w:tcMar>
            <w:vAlign w:val="center"/>
          </w:tcPr>
          <w:p>
            <w:pPr>
              <w:widowControl/>
              <w:spacing w:line="270" w:lineRule="atLeast"/>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（六）社会调查</w:t>
            </w:r>
          </w:p>
          <w:p>
            <w:pPr>
              <w:widowControl/>
              <w:spacing w:line="270" w:lineRule="atLeast"/>
              <w:jc w:val="center"/>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4</w:t>
            </w:r>
            <w:r>
              <w:rPr>
                <w:rFonts w:hint="eastAsia" w:ascii="仿宋_GB2312" w:hAnsi="仿宋_GB2312" w:eastAsia="仿宋_GB2312" w:cs="仿宋_GB2312"/>
                <w:color w:val="000000" w:themeColor="text1"/>
                <w14:textFill>
                  <w14:solidFill>
                    <w14:schemeClr w14:val="tx1"/>
                  </w14:solidFill>
                </w14:textFill>
              </w:rPr>
              <w:t>分</w:t>
            </w:r>
          </w:p>
        </w:tc>
        <w:tc>
          <w:tcPr>
            <w:tcW w:w="1276" w:type="dxa"/>
            <w:shd w:val="clear" w:color="auto" w:fill="auto"/>
            <w:tcMar>
              <w:left w:w="108" w:type="dxa"/>
              <w:right w:w="108" w:type="dxa"/>
            </w:tcMar>
            <w:vAlign w:val="center"/>
          </w:tcPr>
          <w:p>
            <w:pPr>
              <w:widowControl/>
              <w:spacing w:line="270" w:lineRule="atLeast"/>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客户</w:t>
            </w:r>
          </w:p>
          <w:p>
            <w:pPr>
              <w:widowControl/>
              <w:spacing w:line="270" w:lineRule="atLeast"/>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满意度</w:t>
            </w:r>
          </w:p>
        </w:tc>
        <w:tc>
          <w:tcPr>
            <w:tcW w:w="3686" w:type="dxa"/>
            <w:shd w:val="clear" w:color="auto" w:fill="auto"/>
            <w:tcMar>
              <w:left w:w="108" w:type="dxa"/>
              <w:right w:w="108" w:type="dxa"/>
            </w:tcMar>
            <w:vAlign w:val="center"/>
          </w:tcPr>
          <w:p>
            <w:pPr>
              <w:widowControl/>
              <w:spacing w:line="270" w:lineRule="atLeast"/>
              <w:jc w:val="lef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随机抽查本年度完成的项目2-4个，对委托方和相关方满意度进行调查，满分为</w:t>
            </w:r>
            <w:r>
              <w:rPr>
                <w:rFonts w:ascii="仿宋_GB2312" w:hAnsi="仿宋_GB2312" w:eastAsia="仿宋_GB2312" w:cs="仿宋_GB2312"/>
                <w:color w:val="000000" w:themeColor="text1"/>
                <w14:textFill>
                  <w14:solidFill>
                    <w14:schemeClr w14:val="tx1"/>
                  </w14:solidFill>
                </w14:textFill>
              </w:rPr>
              <w:t>4</w:t>
            </w:r>
            <w:r>
              <w:rPr>
                <w:rFonts w:hint="eastAsia" w:ascii="仿宋_GB2312" w:hAnsi="仿宋_GB2312" w:eastAsia="仿宋_GB2312" w:cs="仿宋_GB2312"/>
                <w:color w:val="000000" w:themeColor="text1"/>
                <w14:textFill>
                  <w14:solidFill>
                    <w14:schemeClr w14:val="tx1"/>
                  </w14:solidFill>
                </w14:textFill>
              </w:rPr>
              <w:t>分。共计发放2份调查表，每份调查表满分为2分（很满意得2分、满意得1.5分、一般得1分、不满意得0分）满分为</w:t>
            </w:r>
            <w:r>
              <w:rPr>
                <w:rFonts w:ascii="仿宋_GB2312" w:hAnsi="仿宋_GB2312" w:eastAsia="仿宋_GB2312" w:cs="仿宋_GB2312"/>
                <w:color w:val="000000" w:themeColor="text1"/>
                <w14:textFill>
                  <w14:solidFill>
                    <w14:schemeClr w14:val="tx1"/>
                  </w14:solidFill>
                </w14:textFill>
              </w:rPr>
              <w:t>4</w:t>
            </w:r>
            <w:r>
              <w:rPr>
                <w:rFonts w:hint="eastAsia" w:ascii="仿宋_GB2312" w:hAnsi="仿宋_GB2312" w:eastAsia="仿宋_GB2312" w:cs="仿宋_GB2312"/>
                <w:color w:val="000000" w:themeColor="text1"/>
                <w14:textFill>
                  <w14:solidFill>
                    <w14:schemeClr w14:val="tx1"/>
                  </w14:solidFill>
                </w14:textFill>
              </w:rPr>
              <w:t>分。</w:t>
            </w:r>
          </w:p>
        </w:tc>
        <w:tc>
          <w:tcPr>
            <w:tcW w:w="708" w:type="dxa"/>
            <w:shd w:val="clear" w:color="auto" w:fill="auto"/>
            <w:tcMar>
              <w:left w:w="108" w:type="dxa"/>
              <w:right w:w="108" w:type="dxa"/>
            </w:tcMar>
            <w:vAlign w:val="center"/>
          </w:tcPr>
          <w:p>
            <w:pPr>
              <w:widowControl/>
              <w:spacing w:line="270" w:lineRule="atLeast"/>
              <w:jc w:val="center"/>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4</w:t>
            </w:r>
          </w:p>
        </w:tc>
        <w:tc>
          <w:tcPr>
            <w:tcW w:w="1985" w:type="dxa"/>
          </w:tcPr>
          <w:p>
            <w:pPr>
              <w:widowControl/>
              <w:spacing w:line="270" w:lineRule="atLeast"/>
              <w:jc w:val="center"/>
              <w:rPr>
                <w:rFonts w:ascii="仿宋_GB2312" w:hAnsi="仿宋_GB2312" w:eastAsia="仿宋_GB2312" w:cs="仿宋_GB2312"/>
                <w:color w:val="000000" w:themeColor="text1"/>
                <w14:textFill>
                  <w14:solidFill>
                    <w14:schemeClr w14:val="tx1"/>
                  </w14:solidFill>
                </w14:textFill>
              </w:rPr>
            </w:pPr>
          </w:p>
        </w:tc>
        <w:tc>
          <w:tcPr>
            <w:tcW w:w="992" w:type="dxa"/>
            <w:vAlign w:val="center"/>
          </w:tcPr>
          <w:p>
            <w:pPr>
              <w:widowControl/>
              <w:spacing w:line="270" w:lineRule="atLeast"/>
              <w:rPr>
                <w:rFonts w:ascii="仿宋_GB2312" w:hAnsi="仿宋_GB2312" w:eastAsia="仿宋_GB2312" w:cs="仿宋_GB2312"/>
              </w:rPr>
            </w:pPr>
            <w:r>
              <w:rPr>
                <w:rFonts w:hint="eastAsia" w:ascii="仿宋_GB2312" w:hAnsi="仿宋_GB2312" w:eastAsia="仿宋_GB2312" w:cs="仿宋_GB2312"/>
              </w:rPr>
              <w:t>客户调查</w:t>
            </w:r>
          </w:p>
          <w:p>
            <w:pPr>
              <w:widowControl/>
              <w:spacing w:line="270" w:lineRule="atLeast"/>
              <w:rPr>
                <w:rFonts w:ascii="仿宋_GB2312" w:hAnsi="仿宋_GB2312" w:eastAsia="仿宋_GB2312" w:cs="仿宋_GB2312"/>
              </w:rPr>
            </w:pPr>
            <w:r>
              <w:rPr>
                <w:rFonts w:hint="eastAsia" w:ascii="仿宋_GB2312" w:hAnsi="仿宋_GB2312" w:eastAsia="仿宋_GB2312" w:cs="仿宋_GB2312"/>
              </w:rPr>
              <w:t>表复印件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68" w:hRule="atLeast"/>
        </w:trPr>
        <w:tc>
          <w:tcPr>
            <w:tcW w:w="1276" w:type="dxa"/>
            <w:shd w:val="clear" w:color="auto" w:fill="auto"/>
            <w:tcMar>
              <w:left w:w="108" w:type="dxa"/>
              <w:right w:w="108" w:type="dxa"/>
            </w:tcMar>
            <w:vAlign w:val="center"/>
          </w:tcPr>
          <w:p>
            <w:pPr>
              <w:widowControl/>
              <w:spacing w:line="270" w:lineRule="atLeast"/>
              <w:jc w:val="center"/>
              <w:rPr>
                <w:rFonts w:ascii="仿宋_GB2312" w:hAnsi="仿宋_GB2312" w:eastAsia="仿宋_GB2312" w:cs="仿宋_GB2312"/>
                <w:color w:val="000000" w:themeColor="text1"/>
                <w14:textFill>
                  <w14:solidFill>
                    <w14:schemeClr w14:val="tx1"/>
                  </w14:solidFill>
                </w14:textFill>
              </w:rPr>
            </w:pPr>
          </w:p>
        </w:tc>
        <w:tc>
          <w:tcPr>
            <w:tcW w:w="4962" w:type="dxa"/>
            <w:gridSpan w:val="2"/>
            <w:shd w:val="clear" w:color="auto" w:fill="auto"/>
            <w:tcMar>
              <w:left w:w="108" w:type="dxa"/>
              <w:right w:w="108" w:type="dxa"/>
            </w:tcMar>
            <w:vAlign w:val="center"/>
          </w:tcPr>
          <w:p>
            <w:pPr>
              <w:widowControl/>
              <w:spacing w:line="270" w:lineRule="atLeast"/>
              <w:ind w:firstLine="1470" w:firstLineChars="700"/>
              <w:jc w:val="lef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合    计</w:t>
            </w:r>
          </w:p>
        </w:tc>
        <w:tc>
          <w:tcPr>
            <w:tcW w:w="708" w:type="dxa"/>
            <w:shd w:val="clear" w:color="auto" w:fill="auto"/>
            <w:tcMar>
              <w:left w:w="108" w:type="dxa"/>
              <w:right w:w="108" w:type="dxa"/>
            </w:tcMar>
            <w:vAlign w:val="center"/>
          </w:tcPr>
          <w:p>
            <w:pPr>
              <w:widowControl/>
              <w:spacing w:line="270" w:lineRule="atLeast"/>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100</w:t>
            </w:r>
          </w:p>
        </w:tc>
        <w:tc>
          <w:tcPr>
            <w:tcW w:w="1985" w:type="dxa"/>
          </w:tcPr>
          <w:p>
            <w:pPr>
              <w:widowControl/>
              <w:spacing w:line="270" w:lineRule="atLeast"/>
              <w:jc w:val="center"/>
              <w:rPr>
                <w:rFonts w:ascii="仿宋_GB2312" w:hAnsi="仿宋_GB2312" w:eastAsia="仿宋_GB2312" w:cs="仿宋_GB2312"/>
                <w:color w:val="000000" w:themeColor="text1"/>
                <w14:textFill>
                  <w14:solidFill>
                    <w14:schemeClr w14:val="tx1"/>
                  </w14:solidFill>
                </w14:textFill>
              </w:rPr>
            </w:pPr>
          </w:p>
        </w:tc>
        <w:tc>
          <w:tcPr>
            <w:tcW w:w="992" w:type="dxa"/>
          </w:tcPr>
          <w:p>
            <w:pPr>
              <w:widowControl/>
              <w:spacing w:line="270" w:lineRule="atLeast"/>
              <w:jc w:val="center"/>
              <w:rPr>
                <w:rFonts w:ascii="仿宋_GB2312" w:hAnsi="仿宋_GB2312" w:eastAsia="仿宋_GB2312" w:cs="仿宋_GB2312"/>
              </w:rPr>
            </w:pPr>
          </w:p>
        </w:tc>
      </w:tr>
    </w:tbl>
    <w:p>
      <w:pPr>
        <w:adjustRightInd w:val="0"/>
        <w:snapToGrid w:val="0"/>
        <w:spacing w:line="360" w:lineRule="auto"/>
        <w:rPr>
          <w:rFonts w:ascii="仿宋_GB2312" w:hAnsi="仿宋_GB2312" w:eastAsia="仿宋_GB2312" w:cs="仿宋_GB2312"/>
          <w:color w:val="000000" w:themeColor="text1"/>
          <w14:textFill>
            <w14:solidFill>
              <w14:schemeClr w14:val="tx1"/>
            </w14:solidFill>
          </w14:textFill>
        </w:rPr>
      </w:pPr>
    </w:p>
    <w:p>
      <w:pPr>
        <w:widowControl/>
        <w:jc w:val="left"/>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br w:type="page"/>
      </w:r>
    </w:p>
    <w:tbl>
      <w:tblPr>
        <w:tblStyle w:val="7"/>
        <w:tblW w:w="9804" w:type="dxa"/>
        <w:tblInd w:w="-709" w:type="dxa"/>
        <w:tblLayout w:type="fixed"/>
        <w:tblCellMar>
          <w:top w:w="0" w:type="dxa"/>
          <w:left w:w="108" w:type="dxa"/>
          <w:bottom w:w="0" w:type="dxa"/>
          <w:right w:w="108" w:type="dxa"/>
        </w:tblCellMar>
      </w:tblPr>
      <w:tblGrid>
        <w:gridCol w:w="709"/>
        <w:gridCol w:w="1560"/>
        <w:gridCol w:w="1134"/>
        <w:gridCol w:w="2938"/>
        <w:gridCol w:w="1172"/>
        <w:gridCol w:w="1560"/>
        <w:gridCol w:w="731"/>
      </w:tblGrid>
      <w:tr>
        <w:tblPrEx>
          <w:tblLayout w:type="fixed"/>
          <w:tblCellMar>
            <w:top w:w="0" w:type="dxa"/>
            <w:left w:w="108" w:type="dxa"/>
            <w:bottom w:w="0" w:type="dxa"/>
            <w:right w:w="108" w:type="dxa"/>
          </w:tblCellMar>
        </w:tblPrEx>
        <w:trPr>
          <w:trHeight w:val="347" w:hRule="atLeast"/>
        </w:trPr>
        <w:tc>
          <w:tcPr>
            <w:tcW w:w="9804" w:type="dxa"/>
            <w:gridSpan w:val="7"/>
            <w:tcBorders>
              <w:top w:val="nil"/>
              <w:left w:val="nil"/>
              <w:bottom w:val="single" w:color="auto" w:sz="4" w:space="0"/>
              <w:right w:val="nil"/>
            </w:tcBorders>
            <w:shd w:val="clear" w:color="auto" w:fill="auto"/>
            <w:noWrap/>
            <w:vAlign w:val="center"/>
          </w:tcPr>
          <w:p>
            <w:pPr>
              <w:adjustRightInd w:val="0"/>
              <w:snapToGrid w:val="0"/>
              <w:spacing w:line="360" w:lineRule="auto"/>
              <w:rPr>
                <w:rFonts w:ascii="宋体" w:hAnsi="宋体" w:eastAsia="宋体" w:cs="宋体"/>
                <w:sz w:val="24"/>
              </w:rPr>
            </w:pPr>
            <w:r>
              <w:rPr>
                <w:rFonts w:hint="eastAsia" w:ascii="宋体" w:hAnsi="宋体" w:eastAsia="宋体" w:cs="宋体"/>
                <w:sz w:val="24"/>
              </w:rPr>
              <w:t>附</w:t>
            </w:r>
            <w:bookmarkStart w:id="0" w:name="_GoBack"/>
            <w:bookmarkEnd w:id="0"/>
            <w:r>
              <w:rPr>
                <w:rFonts w:hint="eastAsia" w:ascii="宋体" w:hAnsi="宋体" w:eastAsia="宋体" w:cs="宋体"/>
                <w:sz w:val="24"/>
              </w:rPr>
              <w:t>表</w:t>
            </w:r>
          </w:p>
          <w:p>
            <w:pPr>
              <w:widowControl/>
              <w:jc w:val="center"/>
              <w:rPr>
                <w:rFonts w:ascii="仿宋_GB2312" w:hAnsi="等线" w:eastAsia="仿宋_GB2312" w:cs="宋体"/>
                <w:b/>
                <w:bCs/>
                <w:color w:val="000000"/>
                <w:kern w:val="0"/>
                <w:sz w:val="24"/>
              </w:rPr>
            </w:pPr>
            <w:r>
              <w:rPr>
                <w:rFonts w:hint="eastAsia" w:ascii="宋体" w:hAnsi="宋体" w:eastAsia="宋体" w:cs="宋体"/>
                <w:b/>
                <w:snapToGrid w:val="0"/>
                <w:color w:val="000000" w:themeColor="text1"/>
                <w:kern w:val="0"/>
                <w:sz w:val="32"/>
                <w:szCs w:val="32"/>
                <w14:textFill>
                  <w14:solidFill>
                    <w14:schemeClr w14:val="tx1"/>
                  </w14:solidFill>
                </w14:textFill>
              </w:rPr>
              <w:t>优秀造价工程师工作业绩（45分）</w:t>
            </w:r>
          </w:p>
        </w:tc>
      </w:tr>
      <w:tr>
        <w:tblPrEx>
          <w:tblLayout w:type="fixed"/>
          <w:tblCellMar>
            <w:top w:w="0" w:type="dxa"/>
            <w:left w:w="108" w:type="dxa"/>
            <w:bottom w:w="0" w:type="dxa"/>
            <w:right w:w="108" w:type="dxa"/>
          </w:tblCellMar>
        </w:tblPrEx>
        <w:trPr>
          <w:trHeight w:val="347"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序号</w:t>
            </w:r>
          </w:p>
        </w:tc>
        <w:tc>
          <w:tcPr>
            <w:tcW w:w="5632" w:type="dxa"/>
            <w:gridSpan w:val="3"/>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考核内容</w:t>
            </w:r>
          </w:p>
        </w:tc>
        <w:tc>
          <w:tcPr>
            <w:tcW w:w="117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项目个数</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复杂程度系数</w:t>
            </w:r>
          </w:p>
        </w:tc>
        <w:tc>
          <w:tcPr>
            <w:tcW w:w="73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分值</w:t>
            </w:r>
          </w:p>
        </w:tc>
      </w:tr>
      <w:tr>
        <w:tblPrEx>
          <w:tblLayout w:type="fixed"/>
          <w:tblCellMar>
            <w:top w:w="0" w:type="dxa"/>
            <w:left w:w="108" w:type="dxa"/>
            <w:bottom w:w="0" w:type="dxa"/>
            <w:right w:w="108" w:type="dxa"/>
          </w:tblCellMar>
        </w:tblPrEx>
        <w:trPr>
          <w:trHeight w:val="347" w:hRule="atLeast"/>
        </w:trPr>
        <w:tc>
          <w:tcPr>
            <w:tcW w:w="709" w:type="dxa"/>
            <w:vMerge w:val="restart"/>
            <w:tcBorders>
              <w:top w:val="nil"/>
              <w:left w:val="single" w:color="auto" w:sz="4" w:space="0"/>
              <w:bottom w:val="nil"/>
              <w:right w:val="single" w:color="auto" w:sz="4" w:space="0"/>
            </w:tcBorders>
            <w:shd w:val="clear" w:color="auto" w:fill="auto"/>
            <w:vAlign w:val="center"/>
          </w:tcPr>
          <w:p>
            <w:pPr>
              <w:widowControl/>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1</w:t>
            </w:r>
          </w:p>
        </w:tc>
        <w:tc>
          <w:tcPr>
            <w:tcW w:w="156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完成工程项目的复杂程度，每个项目2.5分（20分）</w:t>
            </w:r>
          </w:p>
        </w:tc>
        <w:tc>
          <w:tcPr>
            <w:tcW w:w="1134" w:type="dxa"/>
            <w:vMerge w:val="restart"/>
            <w:tcBorders>
              <w:top w:val="nil"/>
              <w:left w:val="single" w:color="auto" w:sz="4" w:space="0"/>
              <w:bottom w:val="nil"/>
              <w:right w:val="single" w:color="auto" w:sz="4" w:space="0"/>
            </w:tcBorders>
            <w:shd w:val="clear" w:color="auto" w:fill="auto"/>
            <w:vAlign w:val="center"/>
          </w:tcPr>
          <w:p>
            <w:pPr>
              <w:widowControl/>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房屋建筑工程</w:t>
            </w:r>
          </w:p>
        </w:tc>
        <w:tc>
          <w:tcPr>
            <w:tcW w:w="2938" w:type="dxa"/>
            <w:tcBorders>
              <w:top w:val="nil"/>
              <w:left w:val="nil"/>
              <w:bottom w:val="single" w:color="auto" w:sz="4" w:space="0"/>
              <w:right w:val="single" w:color="auto" w:sz="4" w:space="0"/>
            </w:tcBorders>
            <w:shd w:val="clear" w:color="auto" w:fill="auto"/>
            <w:vAlign w:val="center"/>
          </w:tcPr>
          <w:p>
            <w:pPr>
              <w:widowControl/>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普通厂房工程</w:t>
            </w:r>
          </w:p>
        </w:tc>
        <w:tc>
          <w:tcPr>
            <w:tcW w:w="117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　</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0.90</w:t>
            </w: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color w:val="000000" w:themeColor="text1"/>
                <w14:textFill>
                  <w14:solidFill>
                    <w14:schemeClr w14:val="tx1"/>
                  </w14:solidFill>
                </w14:textFill>
              </w:rPr>
            </w:pPr>
          </w:p>
        </w:tc>
      </w:tr>
      <w:tr>
        <w:tblPrEx>
          <w:tblLayout w:type="fixed"/>
          <w:tblCellMar>
            <w:top w:w="0" w:type="dxa"/>
            <w:left w:w="108" w:type="dxa"/>
            <w:bottom w:w="0" w:type="dxa"/>
            <w:right w:w="108" w:type="dxa"/>
          </w:tblCellMar>
        </w:tblPrEx>
        <w:trPr>
          <w:trHeight w:val="347" w:hRule="atLeast"/>
        </w:trPr>
        <w:tc>
          <w:tcPr>
            <w:tcW w:w="709" w:type="dxa"/>
            <w:vMerge w:val="continue"/>
            <w:tcBorders>
              <w:top w:val="nil"/>
              <w:left w:val="single" w:color="auto" w:sz="4" w:space="0"/>
              <w:bottom w:val="nil"/>
              <w:right w:val="single" w:color="auto" w:sz="4" w:space="0"/>
            </w:tcBorders>
            <w:vAlign w:val="center"/>
          </w:tcPr>
          <w:p>
            <w:pPr>
              <w:widowControl/>
              <w:jc w:val="left"/>
              <w:rPr>
                <w:rFonts w:ascii="仿宋_GB2312" w:hAnsi="仿宋_GB2312" w:eastAsia="仿宋_GB2312" w:cs="仿宋_GB2312"/>
                <w:color w:val="000000" w:themeColor="text1"/>
                <w14:textFill>
                  <w14:solidFill>
                    <w14:schemeClr w14:val="tx1"/>
                  </w14:solidFill>
                </w14:textFill>
              </w:rPr>
            </w:pPr>
          </w:p>
        </w:tc>
        <w:tc>
          <w:tcPr>
            <w:tcW w:w="15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仿宋_GB2312" w:eastAsia="仿宋_GB2312" w:cs="仿宋_GB2312"/>
                <w:color w:val="000000" w:themeColor="text1"/>
                <w14:textFill>
                  <w14:solidFill>
                    <w14:schemeClr w14:val="tx1"/>
                  </w14:solidFill>
                </w14:textFill>
              </w:rPr>
            </w:pPr>
          </w:p>
        </w:tc>
        <w:tc>
          <w:tcPr>
            <w:tcW w:w="1134" w:type="dxa"/>
            <w:vMerge w:val="continue"/>
            <w:tcBorders>
              <w:top w:val="nil"/>
              <w:left w:val="single" w:color="auto" w:sz="4" w:space="0"/>
              <w:bottom w:val="nil"/>
              <w:right w:val="single" w:color="auto" w:sz="4" w:space="0"/>
            </w:tcBorders>
            <w:vAlign w:val="center"/>
          </w:tcPr>
          <w:p>
            <w:pPr>
              <w:widowControl/>
              <w:jc w:val="left"/>
              <w:rPr>
                <w:rFonts w:ascii="仿宋_GB2312" w:hAnsi="仿宋_GB2312" w:eastAsia="仿宋_GB2312" w:cs="仿宋_GB2312"/>
                <w:color w:val="000000" w:themeColor="text1"/>
                <w14:textFill>
                  <w14:solidFill>
                    <w14:schemeClr w14:val="tx1"/>
                  </w14:solidFill>
                </w14:textFill>
              </w:rPr>
            </w:pPr>
          </w:p>
        </w:tc>
        <w:tc>
          <w:tcPr>
            <w:tcW w:w="2938" w:type="dxa"/>
            <w:tcBorders>
              <w:top w:val="nil"/>
              <w:left w:val="nil"/>
              <w:bottom w:val="single" w:color="auto" w:sz="4" w:space="0"/>
              <w:right w:val="single" w:color="auto" w:sz="4" w:space="0"/>
            </w:tcBorders>
            <w:shd w:val="clear" w:color="auto" w:fill="auto"/>
            <w:vAlign w:val="center"/>
          </w:tcPr>
          <w:p>
            <w:pPr>
              <w:widowControl/>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住宅工程</w:t>
            </w:r>
          </w:p>
        </w:tc>
        <w:tc>
          <w:tcPr>
            <w:tcW w:w="117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themeColor="text1"/>
                <w14:textFill>
                  <w14:solidFill>
                    <w14:schemeClr w14:val="tx1"/>
                  </w14:solidFill>
                </w14:textFill>
              </w:rPr>
            </w:pP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1.00</w:t>
            </w: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color w:val="000000" w:themeColor="text1"/>
                <w14:textFill>
                  <w14:solidFill>
                    <w14:schemeClr w14:val="tx1"/>
                  </w14:solidFill>
                </w14:textFill>
              </w:rPr>
            </w:pPr>
          </w:p>
        </w:tc>
      </w:tr>
      <w:tr>
        <w:tblPrEx>
          <w:tblLayout w:type="fixed"/>
          <w:tblCellMar>
            <w:top w:w="0" w:type="dxa"/>
            <w:left w:w="108" w:type="dxa"/>
            <w:bottom w:w="0" w:type="dxa"/>
            <w:right w:w="108" w:type="dxa"/>
          </w:tblCellMar>
        </w:tblPrEx>
        <w:trPr>
          <w:trHeight w:val="347" w:hRule="atLeast"/>
        </w:trPr>
        <w:tc>
          <w:tcPr>
            <w:tcW w:w="709" w:type="dxa"/>
            <w:vMerge w:val="continue"/>
            <w:tcBorders>
              <w:top w:val="nil"/>
              <w:left w:val="single" w:color="auto" w:sz="4" w:space="0"/>
              <w:bottom w:val="nil"/>
              <w:right w:val="single" w:color="auto" w:sz="4" w:space="0"/>
            </w:tcBorders>
            <w:vAlign w:val="center"/>
          </w:tcPr>
          <w:p>
            <w:pPr>
              <w:widowControl/>
              <w:jc w:val="left"/>
              <w:rPr>
                <w:rFonts w:ascii="仿宋_GB2312" w:hAnsi="仿宋_GB2312" w:eastAsia="仿宋_GB2312" w:cs="仿宋_GB2312"/>
                <w:color w:val="000000" w:themeColor="text1"/>
                <w14:textFill>
                  <w14:solidFill>
                    <w14:schemeClr w14:val="tx1"/>
                  </w14:solidFill>
                </w14:textFill>
              </w:rPr>
            </w:pPr>
          </w:p>
        </w:tc>
        <w:tc>
          <w:tcPr>
            <w:tcW w:w="15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仿宋_GB2312" w:eastAsia="仿宋_GB2312" w:cs="仿宋_GB2312"/>
                <w:color w:val="000000" w:themeColor="text1"/>
                <w14:textFill>
                  <w14:solidFill>
                    <w14:schemeClr w14:val="tx1"/>
                  </w14:solidFill>
                </w14:textFill>
              </w:rPr>
            </w:pPr>
          </w:p>
        </w:tc>
        <w:tc>
          <w:tcPr>
            <w:tcW w:w="1134" w:type="dxa"/>
            <w:vMerge w:val="continue"/>
            <w:tcBorders>
              <w:top w:val="nil"/>
              <w:left w:val="single" w:color="auto" w:sz="4" w:space="0"/>
              <w:bottom w:val="nil"/>
              <w:right w:val="single" w:color="auto" w:sz="4" w:space="0"/>
            </w:tcBorders>
            <w:vAlign w:val="center"/>
          </w:tcPr>
          <w:p>
            <w:pPr>
              <w:widowControl/>
              <w:jc w:val="left"/>
              <w:rPr>
                <w:rFonts w:ascii="仿宋_GB2312" w:hAnsi="仿宋_GB2312" w:eastAsia="仿宋_GB2312" w:cs="仿宋_GB2312"/>
                <w:color w:val="000000" w:themeColor="text1"/>
                <w14:textFill>
                  <w14:solidFill>
                    <w14:schemeClr w14:val="tx1"/>
                  </w14:solidFill>
                </w14:textFill>
              </w:rPr>
            </w:pPr>
          </w:p>
        </w:tc>
        <w:tc>
          <w:tcPr>
            <w:tcW w:w="2938" w:type="dxa"/>
            <w:tcBorders>
              <w:top w:val="nil"/>
              <w:left w:val="nil"/>
              <w:bottom w:val="single" w:color="auto" w:sz="4" w:space="0"/>
              <w:right w:val="single" w:color="auto" w:sz="4" w:space="0"/>
            </w:tcBorders>
            <w:shd w:val="clear" w:color="auto" w:fill="auto"/>
            <w:vAlign w:val="center"/>
          </w:tcPr>
          <w:p>
            <w:pPr>
              <w:widowControl/>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综合商业用房</w:t>
            </w:r>
          </w:p>
        </w:tc>
        <w:tc>
          <w:tcPr>
            <w:tcW w:w="117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　</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1.10</w:t>
            </w: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 xml:space="preserve"> </w:t>
            </w:r>
          </w:p>
        </w:tc>
      </w:tr>
      <w:tr>
        <w:tblPrEx>
          <w:tblLayout w:type="fixed"/>
          <w:tblCellMar>
            <w:top w:w="0" w:type="dxa"/>
            <w:left w:w="108" w:type="dxa"/>
            <w:bottom w:w="0" w:type="dxa"/>
            <w:right w:w="108" w:type="dxa"/>
          </w:tblCellMar>
        </w:tblPrEx>
        <w:trPr>
          <w:trHeight w:val="573" w:hRule="atLeast"/>
        </w:trPr>
        <w:tc>
          <w:tcPr>
            <w:tcW w:w="709" w:type="dxa"/>
            <w:vMerge w:val="continue"/>
            <w:tcBorders>
              <w:top w:val="nil"/>
              <w:left w:val="single" w:color="auto" w:sz="4" w:space="0"/>
              <w:bottom w:val="nil"/>
              <w:right w:val="single" w:color="auto" w:sz="4" w:space="0"/>
            </w:tcBorders>
            <w:vAlign w:val="center"/>
          </w:tcPr>
          <w:p>
            <w:pPr>
              <w:widowControl/>
              <w:jc w:val="left"/>
              <w:rPr>
                <w:rFonts w:ascii="仿宋_GB2312" w:hAnsi="仿宋_GB2312" w:eastAsia="仿宋_GB2312" w:cs="仿宋_GB2312"/>
                <w:color w:val="000000" w:themeColor="text1"/>
                <w14:textFill>
                  <w14:solidFill>
                    <w14:schemeClr w14:val="tx1"/>
                  </w14:solidFill>
                </w14:textFill>
              </w:rPr>
            </w:pPr>
          </w:p>
        </w:tc>
        <w:tc>
          <w:tcPr>
            <w:tcW w:w="15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仿宋_GB2312" w:eastAsia="仿宋_GB2312" w:cs="仿宋_GB2312"/>
                <w:color w:val="000000" w:themeColor="text1"/>
                <w14:textFill>
                  <w14:solidFill>
                    <w14:schemeClr w14:val="tx1"/>
                  </w14:solidFill>
                </w14:textFill>
              </w:rPr>
            </w:pPr>
          </w:p>
        </w:tc>
        <w:tc>
          <w:tcPr>
            <w:tcW w:w="1134" w:type="dxa"/>
            <w:vMerge w:val="continue"/>
            <w:tcBorders>
              <w:top w:val="nil"/>
              <w:left w:val="single" w:color="auto" w:sz="4" w:space="0"/>
              <w:bottom w:val="nil"/>
              <w:right w:val="single" w:color="auto" w:sz="4" w:space="0"/>
            </w:tcBorders>
            <w:vAlign w:val="center"/>
          </w:tcPr>
          <w:p>
            <w:pPr>
              <w:widowControl/>
              <w:jc w:val="left"/>
              <w:rPr>
                <w:rFonts w:ascii="仿宋_GB2312" w:hAnsi="仿宋_GB2312" w:eastAsia="仿宋_GB2312" w:cs="仿宋_GB2312"/>
                <w:color w:val="000000" w:themeColor="text1"/>
                <w14:textFill>
                  <w14:solidFill>
                    <w14:schemeClr w14:val="tx1"/>
                  </w14:solidFill>
                </w14:textFill>
              </w:rPr>
            </w:pPr>
          </w:p>
        </w:tc>
        <w:tc>
          <w:tcPr>
            <w:tcW w:w="2938" w:type="dxa"/>
            <w:tcBorders>
              <w:top w:val="nil"/>
              <w:left w:val="nil"/>
              <w:bottom w:val="single" w:color="auto" w:sz="4" w:space="0"/>
              <w:right w:val="single" w:color="auto" w:sz="4" w:space="0"/>
            </w:tcBorders>
            <w:shd w:val="clear" w:color="auto" w:fill="auto"/>
            <w:vAlign w:val="center"/>
          </w:tcPr>
          <w:p>
            <w:pPr>
              <w:widowControl/>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建筑高度≥50m的公共建筑；精装修酒店；综合性医院</w:t>
            </w:r>
          </w:p>
        </w:tc>
        <w:tc>
          <w:tcPr>
            <w:tcW w:w="117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　</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1.15</w:t>
            </w: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 xml:space="preserve"> </w:t>
            </w:r>
          </w:p>
        </w:tc>
      </w:tr>
      <w:tr>
        <w:tblPrEx>
          <w:tblLayout w:type="fixed"/>
          <w:tblCellMar>
            <w:top w:w="0" w:type="dxa"/>
            <w:left w:w="108" w:type="dxa"/>
            <w:bottom w:w="0" w:type="dxa"/>
            <w:right w:w="108" w:type="dxa"/>
          </w:tblCellMar>
        </w:tblPrEx>
        <w:trPr>
          <w:trHeight w:val="573" w:hRule="atLeast"/>
        </w:trPr>
        <w:tc>
          <w:tcPr>
            <w:tcW w:w="709" w:type="dxa"/>
            <w:vMerge w:val="continue"/>
            <w:tcBorders>
              <w:top w:val="nil"/>
              <w:left w:val="single" w:color="auto" w:sz="4" w:space="0"/>
              <w:bottom w:val="nil"/>
              <w:right w:val="single" w:color="auto" w:sz="4" w:space="0"/>
            </w:tcBorders>
            <w:vAlign w:val="center"/>
          </w:tcPr>
          <w:p>
            <w:pPr>
              <w:widowControl/>
              <w:jc w:val="left"/>
              <w:rPr>
                <w:rFonts w:ascii="仿宋_GB2312" w:hAnsi="仿宋_GB2312" w:eastAsia="仿宋_GB2312" w:cs="仿宋_GB2312"/>
                <w:color w:val="000000" w:themeColor="text1"/>
                <w14:textFill>
                  <w14:solidFill>
                    <w14:schemeClr w14:val="tx1"/>
                  </w14:solidFill>
                </w14:textFill>
              </w:rPr>
            </w:pPr>
          </w:p>
        </w:tc>
        <w:tc>
          <w:tcPr>
            <w:tcW w:w="15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仿宋_GB2312" w:eastAsia="仿宋_GB2312" w:cs="仿宋_GB2312"/>
                <w:color w:val="000000" w:themeColor="text1"/>
                <w14:textFill>
                  <w14:solidFill>
                    <w14:schemeClr w14:val="tx1"/>
                  </w14:solidFill>
                </w14:textFill>
              </w:rPr>
            </w:pPr>
          </w:p>
        </w:tc>
        <w:tc>
          <w:tcPr>
            <w:tcW w:w="1134" w:type="dxa"/>
            <w:vMerge w:val="continue"/>
            <w:tcBorders>
              <w:top w:val="nil"/>
              <w:left w:val="single" w:color="auto" w:sz="4" w:space="0"/>
              <w:bottom w:val="nil"/>
              <w:right w:val="single" w:color="auto" w:sz="4" w:space="0"/>
            </w:tcBorders>
            <w:vAlign w:val="center"/>
          </w:tcPr>
          <w:p>
            <w:pPr>
              <w:widowControl/>
              <w:jc w:val="left"/>
              <w:rPr>
                <w:rFonts w:ascii="仿宋_GB2312" w:hAnsi="仿宋_GB2312" w:eastAsia="仿宋_GB2312" w:cs="仿宋_GB2312"/>
                <w:color w:val="000000" w:themeColor="text1"/>
                <w14:textFill>
                  <w14:solidFill>
                    <w14:schemeClr w14:val="tx1"/>
                  </w14:solidFill>
                </w14:textFill>
              </w:rPr>
            </w:pPr>
          </w:p>
        </w:tc>
        <w:tc>
          <w:tcPr>
            <w:tcW w:w="2938" w:type="dxa"/>
            <w:tcBorders>
              <w:top w:val="nil"/>
              <w:left w:val="nil"/>
              <w:bottom w:val="single" w:color="auto" w:sz="4" w:space="0"/>
              <w:right w:val="single" w:color="auto" w:sz="4" w:space="0"/>
            </w:tcBorders>
            <w:shd w:val="clear" w:color="auto" w:fill="auto"/>
            <w:vAlign w:val="center"/>
          </w:tcPr>
          <w:p>
            <w:pPr>
              <w:widowControl/>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大跨度钢结构建筑（体育场馆、文化场馆、会展中心等）</w:t>
            </w:r>
          </w:p>
        </w:tc>
        <w:tc>
          <w:tcPr>
            <w:tcW w:w="117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　</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1.25</w:t>
            </w: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 xml:space="preserve"> </w:t>
            </w:r>
          </w:p>
        </w:tc>
      </w:tr>
      <w:tr>
        <w:tblPrEx>
          <w:tblLayout w:type="fixed"/>
          <w:tblCellMar>
            <w:top w:w="0" w:type="dxa"/>
            <w:left w:w="108" w:type="dxa"/>
            <w:bottom w:w="0" w:type="dxa"/>
            <w:right w:w="108" w:type="dxa"/>
          </w:tblCellMar>
        </w:tblPrEx>
        <w:trPr>
          <w:trHeight w:val="347" w:hRule="atLeast"/>
        </w:trPr>
        <w:tc>
          <w:tcPr>
            <w:tcW w:w="709" w:type="dxa"/>
            <w:vMerge w:val="continue"/>
            <w:tcBorders>
              <w:top w:val="nil"/>
              <w:left w:val="single" w:color="auto" w:sz="4" w:space="0"/>
              <w:bottom w:val="nil"/>
              <w:right w:val="single" w:color="auto" w:sz="4" w:space="0"/>
            </w:tcBorders>
            <w:vAlign w:val="center"/>
          </w:tcPr>
          <w:p>
            <w:pPr>
              <w:widowControl/>
              <w:jc w:val="left"/>
              <w:rPr>
                <w:rFonts w:ascii="仿宋_GB2312" w:hAnsi="仿宋_GB2312" w:eastAsia="仿宋_GB2312" w:cs="仿宋_GB2312"/>
                <w:color w:val="000000" w:themeColor="text1"/>
                <w14:textFill>
                  <w14:solidFill>
                    <w14:schemeClr w14:val="tx1"/>
                  </w14:solidFill>
                </w14:textFill>
              </w:rPr>
            </w:pPr>
          </w:p>
        </w:tc>
        <w:tc>
          <w:tcPr>
            <w:tcW w:w="15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仿宋_GB2312" w:eastAsia="仿宋_GB2312" w:cs="仿宋_GB2312"/>
                <w:color w:val="000000" w:themeColor="text1"/>
                <w14:textFill>
                  <w14:solidFill>
                    <w14:schemeClr w14:val="tx1"/>
                  </w14:solidFill>
                </w14:textFill>
              </w:rPr>
            </w:pPr>
          </w:p>
        </w:tc>
        <w:tc>
          <w:tcPr>
            <w:tcW w:w="1134"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市政工程</w:t>
            </w:r>
          </w:p>
        </w:tc>
        <w:tc>
          <w:tcPr>
            <w:tcW w:w="2938" w:type="dxa"/>
            <w:tcBorders>
              <w:top w:val="nil"/>
              <w:left w:val="nil"/>
              <w:bottom w:val="single" w:color="auto" w:sz="4" w:space="0"/>
              <w:right w:val="single" w:color="auto" w:sz="4" w:space="0"/>
            </w:tcBorders>
            <w:shd w:val="clear" w:color="auto" w:fill="auto"/>
            <w:vAlign w:val="center"/>
          </w:tcPr>
          <w:p>
            <w:pPr>
              <w:widowControl/>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普通道路工程</w:t>
            </w:r>
          </w:p>
        </w:tc>
        <w:tc>
          <w:tcPr>
            <w:tcW w:w="117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　</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1.00</w:t>
            </w: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 xml:space="preserve"> </w:t>
            </w:r>
          </w:p>
        </w:tc>
      </w:tr>
      <w:tr>
        <w:tblPrEx>
          <w:tblLayout w:type="fixed"/>
          <w:tblCellMar>
            <w:top w:w="0" w:type="dxa"/>
            <w:left w:w="108" w:type="dxa"/>
            <w:bottom w:w="0" w:type="dxa"/>
            <w:right w:w="108" w:type="dxa"/>
          </w:tblCellMar>
        </w:tblPrEx>
        <w:trPr>
          <w:trHeight w:val="533" w:hRule="atLeast"/>
        </w:trPr>
        <w:tc>
          <w:tcPr>
            <w:tcW w:w="709" w:type="dxa"/>
            <w:vMerge w:val="continue"/>
            <w:tcBorders>
              <w:top w:val="nil"/>
              <w:left w:val="single" w:color="auto" w:sz="4" w:space="0"/>
              <w:bottom w:val="nil"/>
              <w:right w:val="single" w:color="auto" w:sz="4" w:space="0"/>
            </w:tcBorders>
            <w:vAlign w:val="center"/>
          </w:tcPr>
          <w:p>
            <w:pPr>
              <w:widowControl/>
              <w:jc w:val="left"/>
              <w:rPr>
                <w:rFonts w:ascii="仿宋_GB2312" w:hAnsi="仿宋_GB2312" w:eastAsia="仿宋_GB2312" w:cs="仿宋_GB2312"/>
                <w:color w:val="000000" w:themeColor="text1"/>
                <w14:textFill>
                  <w14:solidFill>
                    <w14:schemeClr w14:val="tx1"/>
                  </w14:solidFill>
                </w14:textFill>
              </w:rPr>
            </w:pPr>
          </w:p>
        </w:tc>
        <w:tc>
          <w:tcPr>
            <w:tcW w:w="15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仿宋_GB2312" w:eastAsia="仿宋_GB2312" w:cs="仿宋_GB2312"/>
                <w:color w:val="000000" w:themeColor="text1"/>
                <w14:textFill>
                  <w14:solidFill>
                    <w14:schemeClr w14:val="tx1"/>
                  </w14:solidFill>
                </w14:textFill>
              </w:rPr>
            </w:pPr>
          </w:p>
        </w:tc>
        <w:tc>
          <w:tcPr>
            <w:tcW w:w="1134"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_GB2312" w:hAnsi="仿宋_GB2312" w:eastAsia="仿宋_GB2312" w:cs="仿宋_GB2312"/>
                <w:color w:val="000000" w:themeColor="text1"/>
                <w14:textFill>
                  <w14:solidFill>
                    <w14:schemeClr w14:val="tx1"/>
                  </w14:solidFill>
                </w14:textFill>
              </w:rPr>
            </w:pPr>
          </w:p>
        </w:tc>
        <w:tc>
          <w:tcPr>
            <w:tcW w:w="2938" w:type="dxa"/>
            <w:tcBorders>
              <w:top w:val="nil"/>
              <w:left w:val="nil"/>
              <w:bottom w:val="single" w:color="auto" w:sz="4" w:space="0"/>
              <w:right w:val="single" w:color="auto" w:sz="4" w:space="0"/>
            </w:tcBorders>
            <w:shd w:val="clear" w:color="auto" w:fill="auto"/>
            <w:vAlign w:val="center"/>
          </w:tcPr>
          <w:p>
            <w:pPr>
              <w:widowControl/>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城市快速路、立交桥、人行地下通道工程</w:t>
            </w:r>
          </w:p>
        </w:tc>
        <w:tc>
          <w:tcPr>
            <w:tcW w:w="117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　</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1.10</w:t>
            </w: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 xml:space="preserve"> </w:t>
            </w:r>
          </w:p>
        </w:tc>
      </w:tr>
      <w:tr>
        <w:tblPrEx>
          <w:tblLayout w:type="fixed"/>
          <w:tblCellMar>
            <w:top w:w="0" w:type="dxa"/>
            <w:left w:w="108" w:type="dxa"/>
            <w:bottom w:w="0" w:type="dxa"/>
            <w:right w:w="108" w:type="dxa"/>
          </w:tblCellMar>
        </w:tblPrEx>
        <w:trPr>
          <w:trHeight w:val="347" w:hRule="atLeast"/>
        </w:trPr>
        <w:tc>
          <w:tcPr>
            <w:tcW w:w="709" w:type="dxa"/>
            <w:vMerge w:val="continue"/>
            <w:tcBorders>
              <w:top w:val="nil"/>
              <w:left w:val="single" w:color="auto" w:sz="4" w:space="0"/>
              <w:bottom w:val="nil"/>
              <w:right w:val="single" w:color="auto" w:sz="4" w:space="0"/>
            </w:tcBorders>
            <w:vAlign w:val="center"/>
          </w:tcPr>
          <w:p>
            <w:pPr>
              <w:widowControl/>
              <w:jc w:val="left"/>
              <w:rPr>
                <w:rFonts w:ascii="仿宋_GB2312" w:hAnsi="仿宋_GB2312" w:eastAsia="仿宋_GB2312" w:cs="仿宋_GB2312"/>
                <w:color w:val="000000" w:themeColor="text1"/>
                <w14:textFill>
                  <w14:solidFill>
                    <w14:schemeClr w14:val="tx1"/>
                  </w14:solidFill>
                </w14:textFill>
              </w:rPr>
            </w:pPr>
          </w:p>
        </w:tc>
        <w:tc>
          <w:tcPr>
            <w:tcW w:w="15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仿宋_GB2312" w:eastAsia="仿宋_GB2312" w:cs="仿宋_GB2312"/>
                <w:color w:val="000000" w:themeColor="text1"/>
                <w14:textFill>
                  <w14:solidFill>
                    <w14:schemeClr w14:val="tx1"/>
                  </w14:solidFill>
                </w14:textFill>
              </w:rPr>
            </w:pPr>
          </w:p>
        </w:tc>
        <w:tc>
          <w:tcPr>
            <w:tcW w:w="1134"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_GB2312" w:hAnsi="仿宋_GB2312" w:eastAsia="仿宋_GB2312" w:cs="仿宋_GB2312"/>
                <w:color w:val="000000" w:themeColor="text1"/>
                <w14:textFill>
                  <w14:solidFill>
                    <w14:schemeClr w14:val="tx1"/>
                  </w14:solidFill>
                </w14:textFill>
              </w:rPr>
            </w:pPr>
          </w:p>
        </w:tc>
        <w:tc>
          <w:tcPr>
            <w:tcW w:w="2938" w:type="dxa"/>
            <w:tcBorders>
              <w:top w:val="nil"/>
              <w:left w:val="nil"/>
              <w:bottom w:val="single" w:color="auto" w:sz="4" w:space="0"/>
              <w:right w:val="single" w:color="auto" w:sz="4" w:space="0"/>
            </w:tcBorders>
            <w:shd w:val="clear" w:color="auto" w:fill="auto"/>
            <w:vAlign w:val="center"/>
          </w:tcPr>
          <w:p>
            <w:pPr>
              <w:widowControl/>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地下通道、城市地铁、轻轨</w:t>
            </w:r>
          </w:p>
        </w:tc>
        <w:tc>
          <w:tcPr>
            <w:tcW w:w="117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　</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1.20</w:t>
            </w: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 xml:space="preserve"> </w:t>
            </w:r>
          </w:p>
        </w:tc>
      </w:tr>
      <w:tr>
        <w:tblPrEx>
          <w:tblLayout w:type="fixed"/>
          <w:tblCellMar>
            <w:top w:w="0" w:type="dxa"/>
            <w:left w:w="108" w:type="dxa"/>
            <w:bottom w:w="0" w:type="dxa"/>
            <w:right w:w="108" w:type="dxa"/>
          </w:tblCellMar>
        </w:tblPrEx>
        <w:trPr>
          <w:trHeight w:val="347" w:hRule="atLeast"/>
        </w:trPr>
        <w:tc>
          <w:tcPr>
            <w:tcW w:w="709" w:type="dxa"/>
            <w:vMerge w:val="continue"/>
            <w:tcBorders>
              <w:top w:val="nil"/>
              <w:left w:val="single" w:color="auto" w:sz="4" w:space="0"/>
              <w:bottom w:val="nil"/>
              <w:right w:val="single" w:color="auto" w:sz="4" w:space="0"/>
            </w:tcBorders>
            <w:vAlign w:val="center"/>
          </w:tcPr>
          <w:p>
            <w:pPr>
              <w:widowControl/>
              <w:jc w:val="left"/>
              <w:rPr>
                <w:rFonts w:ascii="仿宋_GB2312" w:hAnsi="仿宋_GB2312" w:eastAsia="仿宋_GB2312" w:cs="仿宋_GB2312"/>
                <w:color w:val="000000" w:themeColor="text1"/>
                <w14:textFill>
                  <w14:solidFill>
                    <w14:schemeClr w14:val="tx1"/>
                  </w14:solidFill>
                </w14:textFill>
              </w:rPr>
            </w:pPr>
          </w:p>
        </w:tc>
        <w:tc>
          <w:tcPr>
            <w:tcW w:w="15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仿宋_GB2312" w:eastAsia="仿宋_GB2312" w:cs="仿宋_GB2312"/>
                <w:color w:val="000000" w:themeColor="text1"/>
                <w14:textFill>
                  <w14:solidFill>
                    <w14:schemeClr w14:val="tx1"/>
                  </w14:solidFill>
                </w14:textFill>
              </w:rPr>
            </w:pPr>
          </w:p>
        </w:tc>
        <w:tc>
          <w:tcPr>
            <w:tcW w:w="1134"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_GB2312" w:hAnsi="仿宋_GB2312" w:eastAsia="仿宋_GB2312" w:cs="仿宋_GB2312"/>
                <w:color w:val="000000" w:themeColor="text1"/>
                <w14:textFill>
                  <w14:solidFill>
                    <w14:schemeClr w14:val="tx1"/>
                  </w14:solidFill>
                </w14:textFill>
              </w:rPr>
            </w:pPr>
          </w:p>
        </w:tc>
        <w:tc>
          <w:tcPr>
            <w:tcW w:w="2938" w:type="dxa"/>
            <w:tcBorders>
              <w:top w:val="nil"/>
              <w:left w:val="nil"/>
              <w:bottom w:val="single" w:color="auto" w:sz="4" w:space="0"/>
              <w:right w:val="single" w:color="auto" w:sz="4" w:space="0"/>
            </w:tcBorders>
            <w:shd w:val="clear" w:color="auto" w:fill="auto"/>
            <w:vAlign w:val="center"/>
          </w:tcPr>
          <w:p>
            <w:pPr>
              <w:widowControl/>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管道工程</w:t>
            </w:r>
          </w:p>
        </w:tc>
        <w:tc>
          <w:tcPr>
            <w:tcW w:w="117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　</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1.00</w:t>
            </w: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 xml:space="preserve"> </w:t>
            </w:r>
          </w:p>
        </w:tc>
      </w:tr>
      <w:tr>
        <w:tblPrEx>
          <w:tblLayout w:type="fixed"/>
          <w:tblCellMar>
            <w:top w:w="0" w:type="dxa"/>
            <w:left w:w="108" w:type="dxa"/>
            <w:bottom w:w="0" w:type="dxa"/>
            <w:right w:w="108" w:type="dxa"/>
          </w:tblCellMar>
        </w:tblPrEx>
        <w:trPr>
          <w:trHeight w:val="573" w:hRule="atLeast"/>
        </w:trPr>
        <w:tc>
          <w:tcPr>
            <w:tcW w:w="709" w:type="dxa"/>
            <w:vMerge w:val="continue"/>
            <w:tcBorders>
              <w:top w:val="nil"/>
              <w:left w:val="single" w:color="auto" w:sz="4" w:space="0"/>
              <w:bottom w:val="nil"/>
              <w:right w:val="single" w:color="auto" w:sz="4" w:space="0"/>
            </w:tcBorders>
            <w:vAlign w:val="center"/>
          </w:tcPr>
          <w:p>
            <w:pPr>
              <w:widowControl/>
              <w:jc w:val="left"/>
              <w:rPr>
                <w:rFonts w:ascii="仿宋_GB2312" w:hAnsi="仿宋_GB2312" w:eastAsia="仿宋_GB2312" w:cs="仿宋_GB2312"/>
                <w:color w:val="000000" w:themeColor="text1"/>
                <w14:textFill>
                  <w14:solidFill>
                    <w14:schemeClr w14:val="tx1"/>
                  </w14:solidFill>
                </w14:textFill>
              </w:rPr>
            </w:pPr>
          </w:p>
        </w:tc>
        <w:tc>
          <w:tcPr>
            <w:tcW w:w="15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仿宋_GB2312" w:eastAsia="仿宋_GB2312" w:cs="仿宋_GB2312"/>
                <w:color w:val="000000" w:themeColor="text1"/>
                <w14:textFill>
                  <w14:solidFill>
                    <w14:schemeClr w14:val="tx1"/>
                  </w14:solidFill>
                </w14:textFill>
              </w:rPr>
            </w:pPr>
          </w:p>
        </w:tc>
        <w:tc>
          <w:tcPr>
            <w:tcW w:w="1134"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_GB2312" w:hAnsi="仿宋_GB2312" w:eastAsia="仿宋_GB2312" w:cs="仿宋_GB2312"/>
                <w:color w:val="000000" w:themeColor="text1"/>
                <w14:textFill>
                  <w14:solidFill>
                    <w14:schemeClr w14:val="tx1"/>
                  </w14:solidFill>
                </w14:textFill>
              </w:rPr>
            </w:pPr>
          </w:p>
        </w:tc>
        <w:tc>
          <w:tcPr>
            <w:tcW w:w="2938" w:type="dxa"/>
            <w:tcBorders>
              <w:top w:val="nil"/>
              <w:left w:val="nil"/>
              <w:bottom w:val="single" w:color="auto" w:sz="4" w:space="0"/>
              <w:right w:val="single" w:color="auto" w:sz="4" w:space="0"/>
            </w:tcBorders>
            <w:shd w:val="clear" w:color="auto" w:fill="auto"/>
            <w:vAlign w:val="center"/>
          </w:tcPr>
          <w:p>
            <w:pPr>
              <w:widowControl/>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中低压燃气、供热工程；泵站工程；垃圾中转</w:t>
            </w:r>
          </w:p>
        </w:tc>
        <w:tc>
          <w:tcPr>
            <w:tcW w:w="117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　</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1.00</w:t>
            </w: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 xml:space="preserve"> </w:t>
            </w:r>
          </w:p>
        </w:tc>
      </w:tr>
      <w:tr>
        <w:tblPrEx>
          <w:tblLayout w:type="fixed"/>
          <w:tblCellMar>
            <w:top w:w="0" w:type="dxa"/>
            <w:left w:w="108" w:type="dxa"/>
            <w:bottom w:w="0" w:type="dxa"/>
            <w:right w:w="108" w:type="dxa"/>
          </w:tblCellMar>
        </w:tblPrEx>
        <w:trPr>
          <w:trHeight w:val="347" w:hRule="atLeast"/>
        </w:trPr>
        <w:tc>
          <w:tcPr>
            <w:tcW w:w="709" w:type="dxa"/>
            <w:vMerge w:val="continue"/>
            <w:tcBorders>
              <w:top w:val="nil"/>
              <w:left w:val="single" w:color="auto" w:sz="4" w:space="0"/>
              <w:bottom w:val="nil"/>
              <w:right w:val="single" w:color="auto" w:sz="4" w:space="0"/>
            </w:tcBorders>
            <w:vAlign w:val="center"/>
          </w:tcPr>
          <w:p>
            <w:pPr>
              <w:widowControl/>
              <w:jc w:val="left"/>
              <w:rPr>
                <w:rFonts w:ascii="仿宋_GB2312" w:hAnsi="仿宋_GB2312" w:eastAsia="仿宋_GB2312" w:cs="仿宋_GB2312"/>
                <w:color w:val="000000" w:themeColor="text1"/>
                <w14:textFill>
                  <w14:solidFill>
                    <w14:schemeClr w14:val="tx1"/>
                  </w14:solidFill>
                </w14:textFill>
              </w:rPr>
            </w:pPr>
          </w:p>
        </w:tc>
        <w:tc>
          <w:tcPr>
            <w:tcW w:w="15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仿宋_GB2312" w:eastAsia="仿宋_GB2312" w:cs="仿宋_GB2312"/>
                <w:color w:val="000000" w:themeColor="text1"/>
                <w14:textFill>
                  <w14:solidFill>
                    <w14:schemeClr w14:val="tx1"/>
                  </w14:solidFill>
                </w14:textFill>
              </w:rPr>
            </w:pPr>
          </w:p>
        </w:tc>
        <w:tc>
          <w:tcPr>
            <w:tcW w:w="1134"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_GB2312" w:hAnsi="仿宋_GB2312" w:eastAsia="仿宋_GB2312" w:cs="仿宋_GB2312"/>
                <w:color w:val="000000" w:themeColor="text1"/>
                <w14:textFill>
                  <w14:solidFill>
                    <w14:schemeClr w14:val="tx1"/>
                  </w14:solidFill>
                </w14:textFill>
              </w:rPr>
            </w:pPr>
          </w:p>
        </w:tc>
        <w:tc>
          <w:tcPr>
            <w:tcW w:w="2938" w:type="dxa"/>
            <w:tcBorders>
              <w:top w:val="nil"/>
              <w:left w:val="nil"/>
              <w:bottom w:val="single" w:color="auto" w:sz="4" w:space="0"/>
              <w:right w:val="single" w:color="auto" w:sz="4" w:space="0"/>
            </w:tcBorders>
            <w:shd w:val="clear" w:color="auto" w:fill="auto"/>
            <w:vAlign w:val="center"/>
          </w:tcPr>
          <w:p>
            <w:pPr>
              <w:widowControl/>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园林工程、城市广场</w:t>
            </w:r>
          </w:p>
        </w:tc>
        <w:tc>
          <w:tcPr>
            <w:tcW w:w="117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　</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0.90</w:t>
            </w: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 xml:space="preserve"> </w:t>
            </w:r>
          </w:p>
        </w:tc>
      </w:tr>
      <w:tr>
        <w:tblPrEx>
          <w:tblLayout w:type="fixed"/>
          <w:tblCellMar>
            <w:top w:w="0" w:type="dxa"/>
            <w:left w:w="108" w:type="dxa"/>
            <w:bottom w:w="0" w:type="dxa"/>
            <w:right w:w="108" w:type="dxa"/>
          </w:tblCellMar>
        </w:tblPrEx>
        <w:trPr>
          <w:trHeight w:val="347" w:hRule="atLeast"/>
        </w:trPr>
        <w:tc>
          <w:tcPr>
            <w:tcW w:w="709" w:type="dxa"/>
            <w:vMerge w:val="continue"/>
            <w:tcBorders>
              <w:top w:val="nil"/>
              <w:left w:val="single" w:color="auto" w:sz="4" w:space="0"/>
              <w:bottom w:val="nil"/>
              <w:right w:val="single" w:color="auto" w:sz="4" w:space="0"/>
            </w:tcBorders>
            <w:vAlign w:val="center"/>
          </w:tcPr>
          <w:p>
            <w:pPr>
              <w:widowControl/>
              <w:jc w:val="left"/>
              <w:rPr>
                <w:rFonts w:ascii="仿宋_GB2312" w:hAnsi="仿宋_GB2312" w:eastAsia="仿宋_GB2312" w:cs="仿宋_GB2312"/>
                <w:color w:val="000000" w:themeColor="text1"/>
                <w14:textFill>
                  <w14:solidFill>
                    <w14:schemeClr w14:val="tx1"/>
                  </w14:solidFill>
                </w14:textFill>
              </w:rPr>
            </w:pPr>
          </w:p>
        </w:tc>
        <w:tc>
          <w:tcPr>
            <w:tcW w:w="15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仿宋_GB2312" w:eastAsia="仿宋_GB2312" w:cs="仿宋_GB2312"/>
                <w:color w:val="000000" w:themeColor="text1"/>
                <w14:textFill>
                  <w14:solidFill>
                    <w14:schemeClr w14:val="tx1"/>
                  </w14:solidFill>
                </w14:textFill>
              </w:rPr>
            </w:pPr>
          </w:p>
        </w:tc>
        <w:tc>
          <w:tcPr>
            <w:tcW w:w="1134"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_GB2312" w:hAnsi="仿宋_GB2312" w:eastAsia="仿宋_GB2312" w:cs="仿宋_GB2312"/>
                <w:color w:val="000000" w:themeColor="text1"/>
                <w14:textFill>
                  <w14:solidFill>
                    <w14:schemeClr w14:val="tx1"/>
                  </w14:solidFill>
                </w14:textFill>
              </w:rPr>
            </w:pPr>
          </w:p>
        </w:tc>
        <w:tc>
          <w:tcPr>
            <w:tcW w:w="2938" w:type="dxa"/>
            <w:tcBorders>
              <w:top w:val="nil"/>
              <w:left w:val="nil"/>
              <w:bottom w:val="single" w:color="auto" w:sz="4" w:space="0"/>
              <w:right w:val="single" w:color="auto" w:sz="4" w:space="0"/>
            </w:tcBorders>
            <w:shd w:val="clear" w:color="auto" w:fill="auto"/>
            <w:vAlign w:val="center"/>
          </w:tcPr>
          <w:p>
            <w:pPr>
              <w:widowControl/>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古建筑</w:t>
            </w:r>
          </w:p>
        </w:tc>
        <w:tc>
          <w:tcPr>
            <w:tcW w:w="117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　</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1.10</w:t>
            </w: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 xml:space="preserve"> </w:t>
            </w:r>
          </w:p>
        </w:tc>
      </w:tr>
      <w:tr>
        <w:tblPrEx>
          <w:tblLayout w:type="fixed"/>
          <w:tblCellMar>
            <w:top w:w="0" w:type="dxa"/>
            <w:left w:w="108" w:type="dxa"/>
            <w:bottom w:w="0" w:type="dxa"/>
            <w:right w:w="108" w:type="dxa"/>
          </w:tblCellMar>
        </w:tblPrEx>
        <w:trPr>
          <w:trHeight w:val="347" w:hRule="atLeast"/>
        </w:trPr>
        <w:tc>
          <w:tcPr>
            <w:tcW w:w="709" w:type="dxa"/>
            <w:vMerge w:val="continue"/>
            <w:tcBorders>
              <w:top w:val="nil"/>
              <w:left w:val="single" w:color="auto" w:sz="4" w:space="0"/>
              <w:bottom w:val="nil"/>
              <w:right w:val="single" w:color="auto" w:sz="4" w:space="0"/>
            </w:tcBorders>
            <w:vAlign w:val="center"/>
          </w:tcPr>
          <w:p>
            <w:pPr>
              <w:widowControl/>
              <w:jc w:val="left"/>
              <w:rPr>
                <w:rFonts w:ascii="仿宋_GB2312" w:hAnsi="仿宋_GB2312" w:eastAsia="仿宋_GB2312" w:cs="仿宋_GB2312"/>
                <w:color w:val="000000" w:themeColor="text1"/>
                <w14:textFill>
                  <w14:solidFill>
                    <w14:schemeClr w14:val="tx1"/>
                  </w14:solidFill>
                </w14:textFill>
              </w:rPr>
            </w:pPr>
          </w:p>
        </w:tc>
        <w:tc>
          <w:tcPr>
            <w:tcW w:w="15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仿宋_GB2312" w:eastAsia="仿宋_GB2312" w:cs="仿宋_GB2312"/>
                <w:color w:val="000000" w:themeColor="text1"/>
                <w14:textFill>
                  <w14:solidFill>
                    <w14:schemeClr w14:val="tx1"/>
                  </w14:solidFill>
                </w14:textFill>
              </w:rPr>
            </w:pPr>
          </w:p>
        </w:tc>
        <w:tc>
          <w:tcPr>
            <w:tcW w:w="1134"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_GB2312" w:hAnsi="仿宋_GB2312" w:eastAsia="仿宋_GB2312" w:cs="仿宋_GB2312"/>
                <w:color w:val="000000" w:themeColor="text1"/>
                <w14:textFill>
                  <w14:solidFill>
                    <w14:schemeClr w14:val="tx1"/>
                  </w14:solidFill>
                </w14:textFill>
              </w:rPr>
            </w:pPr>
          </w:p>
        </w:tc>
        <w:tc>
          <w:tcPr>
            <w:tcW w:w="2938" w:type="dxa"/>
            <w:tcBorders>
              <w:top w:val="nil"/>
              <w:left w:val="nil"/>
              <w:bottom w:val="single" w:color="auto" w:sz="4" w:space="0"/>
              <w:right w:val="single" w:color="auto" w:sz="4" w:space="0"/>
            </w:tcBorders>
            <w:shd w:val="clear" w:color="auto" w:fill="auto"/>
            <w:vAlign w:val="center"/>
          </w:tcPr>
          <w:p>
            <w:pPr>
              <w:widowControl/>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高压燃气管网、储气站工程</w:t>
            </w:r>
          </w:p>
        </w:tc>
        <w:tc>
          <w:tcPr>
            <w:tcW w:w="117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　</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1.15</w:t>
            </w: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 xml:space="preserve"> </w:t>
            </w:r>
          </w:p>
        </w:tc>
      </w:tr>
      <w:tr>
        <w:tblPrEx>
          <w:tblLayout w:type="fixed"/>
          <w:tblCellMar>
            <w:top w:w="0" w:type="dxa"/>
            <w:left w:w="108" w:type="dxa"/>
            <w:bottom w:w="0" w:type="dxa"/>
            <w:right w:w="108" w:type="dxa"/>
          </w:tblCellMar>
        </w:tblPrEx>
        <w:trPr>
          <w:trHeight w:val="347" w:hRule="atLeast"/>
        </w:trPr>
        <w:tc>
          <w:tcPr>
            <w:tcW w:w="709" w:type="dxa"/>
            <w:vMerge w:val="continue"/>
            <w:tcBorders>
              <w:top w:val="nil"/>
              <w:left w:val="single" w:color="auto" w:sz="4" w:space="0"/>
              <w:bottom w:val="nil"/>
              <w:right w:val="single" w:color="auto" w:sz="4" w:space="0"/>
            </w:tcBorders>
            <w:vAlign w:val="center"/>
          </w:tcPr>
          <w:p>
            <w:pPr>
              <w:widowControl/>
              <w:jc w:val="left"/>
              <w:rPr>
                <w:rFonts w:ascii="仿宋_GB2312" w:hAnsi="仿宋_GB2312" w:eastAsia="仿宋_GB2312" w:cs="仿宋_GB2312"/>
                <w:color w:val="000000" w:themeColor="text1"/>
                <w14:textFill>
                  <w14:solidFill>
                    <w14:schemeClr w14:val="tx1"/>
                  </w14:solidFill>
                </w14:textFill>
              </w:rPr>
            </w:pPr>
          </w:p>
        </w:tc>
        <w:tc>
          <w:tcPr>
            <w:tcW w:w="15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仿宋_GB2312" w:eastAsia="仿宋_GB2312" w:cs="仿宋_GB2312"/>
                <w:color w:val="000000" w:themeColor="text1"/>
                <w14:textFill>
                  <w14:solidFill>
                    <w14:schemeClr w14:val="tx1"/>
                  </w14:solidFill>
                </w14:textFill>
              </w:rPr>
            </w:pPr>
          </w:p>
        </w:tc>
        <w:tc>
          <w:tcPr>
            <w:tcW w:w="4072"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公路工程</w:t>
            </w:r>
          </w:p>
        </w:tc>
        <w:tc>
          <w:tcPr>
            <w:tcW w:w="117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　</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1.00</w:t>
            </w: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 xml:space="preserve"> </w:t>
            </w:r>
          </w:p>
        </w:tc>
      </w:tr>
      <w:tr>
        <w:tblPrEx>
          <w:tblLayout w:type="fixed"/>
          <w:tblCellMar>
            <w:top w:w="0" w:type="dxa"/>
            <w:left w:w="108" w:type="dxa"/>
            <w:bottom w:w="0" w:type="dxa"/>
            <w:right w:w="108" w:type="dxa"/>
          </w:tblCellMar>
        </w:tblPrEx>
        <w:trPr>
          <w:trHeight w:val="347" w:hRule="atLeast"/>
        </w:trPr>
        <w:tc>
          <w:tcPr>
            <w:tcW w:w="709" w:type="dxa"/>
            <w:vMerge w:val="continue"/>
            <w:tcBorders>
              <w:top w:val="nil"/>
              <w:left w:val="single" w:color="auto" w:sz="4" w:space="0"/>
              <w:bottom w:val="nil"/>
              <w:right w:val="single" w:color="auto" w:sz="4" w:space="0"/>
            </w:tcBorders>
            <w:vAlign w:val="center"/>
          </w:tcPr>
          <w:p>
            <w:pPr>
              <w:widowControl/>
              <w:jc w:val="left"/>
              <w:rPr>
                <w:rFonts w:ascii="仿宋_GB2312" w:hAnsi="仿宋_GB2312" w:eastAsia="仿宋_GB2312" w:cs="仿宋_GB2312"/>
                <w:color w:val="000000" w:themeColor="text1"/>
                <w14:textFill>
                  <w14:solidFill>
                    <w14:schemeClr w14:val="tx1"/>
                  </w14:solidFill>
                </w14:textFill>
              </w:rPr>
            </w:pPr>
          </w:p>
        </w:tc>
        <w:tc>
          <w:tcPr>
            <w:tcW w:w="15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仿宋_GB2312" w:eastAsia="仿宋_GB2312" w:cs="仿宋_GB2312"/>
                <w:color w:val="000000" w:themeColor="text1"/>
                <w14:textFill>
                  <w14:solidFill>
                    <w14:schemeClr w14:val="tx1"/>
                  </w14:solidFill>
                </w14:textFill>
              </w:rPr>
            </w:pPr>
          </w:p>
        </w:tc>
        <w:tc>
          <w:tcPr>
            <w:tcW w:w="4072"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铁路工程</w:t>
            </w:r>
          </w:p>
        </w:tc>
        <w:tc>
          <w:tcPr>
            <w:tcW w:w="117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　</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1.00</w:t>
            </w: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 xml:space="preserve"> </w:t>
            </w:r>
          </w:p>
        </w:tc>
      </w:tr>
      <w:tr>
        <w:tblPrEx>
          <w:tblLayout w:type="fixed"/>
          <w:tblCellMar>
            <w:top w:w="0" w:type="dxa"/>
            <w:left w:w="108" w:type="dxa"/>
            <w:bottom w:w="0" w:type="dxa"/>
            <w:right w:w="108" w:type="dxa"/>
          </w:tblCellMar>
        </w:tblPrEx>
        <w:trPr>
          <w:trHeight w:val="347" w:hRule="atLeast"/>
        </w:trPr>
        <w:tc>
          <w:tcPr>
            <w:tcW w:w="709" w:type="dxa"/>
            <w:vMerge w:val="continue"/>
            <w:tcBorders>
              <w:top w:val="nil"/>
              <w:left w:val="single" w:color="auto" w:sz="4" w:space="0"/>
              <w:bottom w:val="nil"/>
              <w:right w:val="single" w:color="auto" w:sz="4" w:space="0"/>
            </w:tcBorders>
            <w:vAlign w:val="center"/>
          </w:tcPr>
          <w:p>
            <w:pPr>
              <w:widowControl/>
              <w:jc w:val="left"/>
              <w:rPr>
                <w:rFonts w:ascii="仿宋_GB2312" w:hAnsi="仿宋_GB2312" w:eastAsia="仿宋_GB2312" w:cs="仿宋_GB2312"/>
                <w:color w:val="000000" w:themeColor="text1"/>
                <w14:textFill>
                  <w14:solidFill>
                    <w14:schemeClr w14:val="tx1"/>
                  </w14:solidFill>
                </w14:textFill>
              </w:rPr>
            </w:pPr>
          </w:p>
        </w:tc>
        <w:tc>
          <w:tcPr>
            <w:tcW w:w="15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仿宋_GB2312" w:eastAsia="仿宋_GB2312" w:cs="仿宋_GB2312"/>
                <w:color w:val="000000" w:themeColor="text1"/>
                <w14:textFill>
                  <w14:solidFill>
                    <w14:schemeClr w14:val="tx1"/>
                  </w14:solidFill>
                </w14:textFill>
              </w:rPr>
            </w:pPr>
          </w:p>
        </w:tc>
        <w:tc>
          <w:tcPr>
            <w:tcW w:w="4072"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电力工程</w:t>
            </w:r>
          </w:p>
        </w:tc>
        <w:tc>
          <w:tcPr>
            <w:tcW w:w="117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　</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1.05</w:t>
            </w: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 xml:space="preserve"> </w:t>
            </w:r>
          </w:p>
        </w:tc>
      </w:tr>
      <w:tr>
        <w:tblPrEx>
          <w:tblLayout w:type="fixed"/>
          <w:tblCellMar>
            <w:top w:w="0" w:type="dxa"/>
            <w:left w:w="108" w:type="dxa"/>
            <w:bottom w:w="0" w:type="dxa"/>
            <w:right w:w="108" w:type="dxa"/>
          </w:tblCellMar>
        </w:tblPrEx>
        <w:trPr>
          <w:trHeight w:val="347" w:hRule="atLeast"/>
        </w:trPr>
        <w:tc>
          <w:tcPr>
            <w:tcW w:w="709" w:type="dxa"/>
            <w:vMerge w:val="continue"/>
            <w:tcBorders>
              <w:top w:val="nil"/>
              <w:left w:val="single" w:color="auto" w:sz="4" w:space="0"/>
              <w:bottom w:val="nil"/>
              <w:right w:val="single" w:color="auto" w:sz="4" w:space="0"/>
            </w:tcBorders>
            <w:vAlign w:val="center"/>
          </w:tcPr>
          <w:p>
            <w:pPr>
              <w:widowControl/>
              <w:jc w:val="left"/>
              <w:rPr>
                <w:rFonts w:ascii="仿宋_GB2312" w:hAnsi="仿宋_GB2312" w:eastAsia="仿宋_GB2312" w:cs="仿宋_GB2312"/>
                <w:color w:val="000000" w:themeColor="text1"/>
                <w14:textFill>
                  <w14:solidFill>
                    <w14:schemeClr w14:val="tx1"/>
                  </w14:solidFill>
                </w14:textFill>
              </w:rPr>
            </w:pPr>
          </w:p>
        </w:tc>
        <w:tc>
          <w:tcPr>
            <w:tcW w:w="15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仿宋_GB2312" w:eastAsia="仿宋_GB2312" w:cs="仿宋_GB2312"/>
                <w:color w:val="000000" w:themeColor="text1"/>
                <w14:textFill>
                  <w14:solidFill>
                    <w14:schemeClr w14:val="tx1"/>
                  </w14:solidFill>
                </w14:textFill>
              </w:rPr>
            </w:pPr>
          </w:p>
        </w:tc>
        <w:tc>
          <w:tcPr>
            <w:tcW w:w="4072"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水利工程</w:t>
            </w:r>
          </w:p>
        </w:tc>
        <w:tc>
          <w:tcPr>
            <w:tcW w:w="117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　</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1.05</w:t>
            </w: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 xml:space="preserve"> </w:t>
            </w:r>
          </w:p>
        </w:tc>
      </w:tr>
      <w:tr>
        <w:tblPrEx>
          <w:tblLayout w:type="fixed"/>
          <w:tblCellMar>
            <w:top w:w="0" w:type="dxa"/>
            <w:left w:w="108" w:type="dxa"/>
            <w:bottom w:w="0" w:type="dxa"/>
            <w:right w:w="108" w:type="dxa"/>
          </w:tblCellMar>
        </w:tblPrEx>
        <w:trPr>
          <w:trHeight w:val="347" w:hRule="atLeast"/>
        </w:trPr>
        <w:tc>
          <w:tcPr>
            <w:tcW w:w="709" w:type="dxa"/>
            <w:vMerge w:val="continue"/>
            <w:tcBorders>
              <w:top w:val="nil"/>
              <w:left w:val="single" w:color="auto" w:sz="4" w:space="0"/>
              <w:bottom w:val="nil"/>
              <w:right w:val="single" w:color="auto" w:sz="4" w:space="0"/>
            </w:tcBorders>
            <w:vAlign w:val="center"/>
          </w:tcPr>
          <w:p>
            <w:pPr>
              <w:widowControl/>
              <w:jc w:val="left"/>
              <w:rPr>
                <w:rFonts w:ascii="仿宋_GB2312" w:hAnsi="仿宋_GB2312" w:eastAsia="仿宋_GB2312" w:cs="仿宋_GB2312"/>
                <w:color w:val="000000" w:themeColor="text1"/>
                <w14:textFill>
                  <w14:solidFill>
                    <w14:schemeClr w14:val="tx1"/>
                  </w14:solidFill>
                </w14:textFill>
              </w:rPr>
            </w:pPr>
          </w:p>
        </w:tc>
        <w:tc>
          <w:tcPr>
            <w:tcW w:w="15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仿宋_GB2312" w:eastAsia="仿宋_GB2312" w:cs="仿宋_GB2312"/>
                <w:color w:val="000000" w:themeColor="text1"/>
                <w14:textFill>
                  <w14:solidFill>
                    <w14:schemeClr w14:val="tx1"/>
                  </w14:solidFill>
                </w14:textFill>
              </w:rPr>
            </w:pPr>
          </w:p>
        </w:tc>
        <w:tc>
          <w:tcPr>
            <w:tcW w:w="4072"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矿山工程</w:t>
            </w:r>
          </w:p>
        </w:tc>
        <w:tc>
          <w:tcPr>
            <w:tcW w:w="117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　</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1.05</w:t>
            </w: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 xml:space="preserve"> </w:t>
            </w:r>
          </w:p>
        </w:tc>
      </w:tr>
      <w:tr>
        <w:tblPrEx>
          <w:tblLayout w:type="fixed"/>
          <w:tblCellMar>
            <w:top w:w="0" w:type="dxa"/>
            <w:left w:w="108" w:type="dxa"/>
            <w:bottom w:w="0" w:type="dxa"/>
            <w:right w:w="108" w:type="dxa"/>
          </w:tblCellMar>
        </w:tblPrEx>
        <w:trPr>
          <w:trHeight w:val="347" w:hRule="atLeast"/>
        </w:trPr>
        <w:tc>
          <w:tcPr>
            <w:tcW w:w="709" w:type="dxa"/>
            <w:vMerge w:val="continue"/>
            <w:tcBorders>
              <w:top w:val="nil"/>
              <w:left w:val="single" w:color="auto" w:sz="4" w:space="0"/>
              <w:bottom w:val="nil"/>
              <w:right w:val="single" w:color="auto" w:sz="4" w:space="0"/>
            </w:tcBorders>
            <w:vAlign w:val="center"/>
          </w:tcPr>
          <w:p>
            <w:pPr>
              <w:widowControl/>
              <w:jc w:val="left"/>
              <w:rPr>
                <w:rFonts w:ascii="仿宋_GB2312" w:hAnsi="仿宋_GB2312" w:eastAsia="仿宋_GB2312" w:cs="仿宋_GB2312"/>
                <w:color w:val="000000" w:themeColor="text1"/>
                <w14:textFill>
                  <w14:solidFill>
                    <w14:schemeClr w14:val="tx1"/>
                  </w14:solidFill>
                </w14:textFill>
              </w:rPr>
            </w:pPr>
          </w:p>
        </w:tc>
        <w:tc>
          <w:tcPr>
            <w:tcW w:w="15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仿宋_GB2312" w:eastAsia="仿宋_GB2312" w:cs="仿宋_GB2312"/>
                <w:color w:val="000000" w:themeColor="text1"/>
                <w14:textFill>
                  <w14:solidFill>
                    <w14:schemeClr w14:val="tx1"/>
                  </w14:solidFill>
                </w14:textFill>
              </w:rPr>
            </w:pPr>
          </w:p>
        </w:tc>
        <w:tc>
          <w:tcPr>
            <w:tcW w:w="4072"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其他</w:t>
            </w:r>
          </w:p>
        </w:tc>
        <w:tc>
          <w:tcPr>
            <w:tcW w:w="117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　</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1.00</w:t>
            </w: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 xml:space="preserve"> </w:t>
            </w:r>
          </w:p>
        </w:tc>
      </w:tr>
      <w:tr>
        <w:tblPrEx>
          <w:tblLayout w:type="fixed"/>
          <w:tblCellMar>
            <w:top w:w="0" w:type="dxa"/>
            <w:left w:w="108" w:type="dxa"/>
            <w:bottom w:w="0" w:type="dxa"/>
            <w:right w:w="108" w:type="dxa"/>
          </w:tblCellMar>
        </w:tblPrEx>
        <w:trPr>
          <w:trHeight w:val="347" w:hRule="atLeast"/>
        </w:trPr>
        <w:tc>
          <w:tcPr>
            <w:tcW w:w="70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2</w:t>
            </w:r>
          </w:p>
        </w:tc>
        <w:tc>
          <w:tcPr>
            <w:tcW w:w="156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工程项目规模</w:t>
            </w:r>
          </w:p>
          <w:p>
            <w:pPr>
              <w:widowControl/>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（20分）</w:t>
            </w:r>
          </w:p>
        </w:tc>
        <w:tc>
          <w:tcPr>
            <w:tcW w:w="4072"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1000万元以下</w:t>
            </w:r>
          </w:p>
        </w:tc>
        <w:tc>
          <w:tcPr>
            <w:tcW w:w="117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 xml:space="preserve"> </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2</w:t>
            </w:r>
          </w:p>
        </w:tc>
        <w:tc>
          <w:tcPr>
            <w:tcW w:w="73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 xml:space="preserve"> </w:t>
            </w:r>
          </w:p>
        </w:tc>
      </w:tr>
      <w:tr>
        <w:tblPrEx>
          <w:tblLayout w:type="fixed"/>
          <w:tblCellMar>
            <w:top w:w="0" w:type="dxa"/>
            <w:left w:w="108" w:type="dxa"/>
            <w:bottom w:w="0" w:type="dxa"/>
            <w:right w:w="108" w:type="dxa"/>
          </w:tblCellMar>
        </w:tblPrEx>
        <w:trPr>
          <w:trHeight w:val="347" w:hRule="atLeast"/>
        </w:trPr>
        <w:tc>
          <w:tcPr>
            <w:tcW w:w="709"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_GB2312" w:hAnsi="仿宋_GB2312" w:eastAsia="仿宋_GB2312" w:cs="仿宋_GB2312"/>
                <w:color w:val="000000" w:themeColor="text1"/>
                <w14:textFill>
                  <w14:solidFill>
                    <w14:schemeClr w14:val="tx1"/>
                  </w14:solidFill>
                </w14:textFill>
              </w:rPr>
            </w:pPr>
          </w:p>
        </w:tc>
        <w:tc>
          <w:tcPr>
            <w:tcW w:w="15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仿宋_GB2312" w:eastAsia="仿宋_GB2312" w:cs="仿宋_GB2312"/>
                <w:color w:val="000000" w:themeColor="text1"/>
                <w14:textFill>
                  <w14:solidFill>
                    <w14:schemeClr w14:val="tx1"/>
                  </w14:solidFill>
                </w14:textFill>
              </w:rPr>
            </w:pPr>
          </w:p>
        </w:tc>
        <w:tc>
          <w:tcPr>
            <w:tcW w:w="4072"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1000-3000万元</w:t>
            </w:r>
          </w:p>
        </w:tc>
        <w:tc>
          <w:tcPr>
            <w:tcW w:w="117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 xml:space="preserve"> </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3</w:t>
            </w:r>
          </w:p>
        </w:tc>
        <w:tc>
          <w:tcPr>
            <w:tcW w:w="73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 xml:space="preserve"> </w:t>
            </w:r>
          </w:p>
        </w:tc>
      </w:tr>
      <w:tr>
        <w:tblPrEx>
          <w:tblLayout w:type="fixed"/>
          <w:tblCellMar>
            <w:top w:w="0" w:type="dxa"/>
            <w:left w:w="108" w:type="dxa"/>
            <w:bottom w:w="0" w:type="dxa"/>
            <w:right w:w="108" w:type="dxa"/>
          </w:tblCellMar>
        </w:tblPrEx>
        <w:trPr>
          <w:trHeight w:val="347" w:hRule="atLeast"/>
        </w:trPr>
        <w:tc>
          <w:tcPr>
            <w:tcW w:w="709"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_GB2312" w:hAnsi="仿宋_GB2312" w:eastAsia="仿宋_GB2312" w:cs="仿宋_GB2312"/>
                <w:color w:val="000000" w:themeColor="text1"/>
                <w14:textFill>
                  <w14:solidFill>
                    <w14:schemeClr w14:val="tx1"/>
                  </w14:solidFill>
                </w14:textFill>
              </w:rPr>
            </w:pPr>
          </w:p>
        </w:tc>
        <w:tc>
          <w:tcPr>
            <w:tcW w:w="15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仿宋_GB2312" w:eastAsia="仿宋_GB2312" w:cs="仿宋_GB2312"/>
                <w:color w:val="000000" w:themeColor="text1"/>
                <w14:textFill>
                  <w14:solidFill>
                    <w14:schemeClr w14:val="tx1"/>
                  </w14:solidFill>
                </w14:textFill>
              </w:rPr>
            </w:pPr>
          </w:p>
        </w:tc>
        <w:tc>
          <w:tcPr>
            <w:tcW w:w="4072"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3000-5000万元</w:t>
            </w:r>
          </w:p>
        </w:tc>
        <w:tc>
          <w:tcPr>
            <w:tcW w:w="117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 xml:space="preserve"> </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4</w:t>
            </w:r>
          </w:p>
        </w:tc>
        <w:tc>
          <w:tcPr>
            <w:tcW w:w="73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 xml:space="preserve"> </w:t>
            </w:r>
          </w:p>
        </w:tc>
      </w:tr>
      <w:tr>
        <w:tblPrEx>
          <w:tblLayout w:type="fixed"/>
          <w:tblCellMar>
            <w:top w:w="0" w:type="dxa"/>
            <w:left w:w="108" w:type="dxa"/>
            <w:bottom w:w="0" w:type="dxa"/>
            <w:right w:w="108" w:type="dxa"/>
          </w:tblCellMar>
        </w:tblPrEx>
        <w:trPr>
          <w:trHeight w:val="347" w:hRule="atLeast"/>
        </w:trPr>
        <w:tc>
          <w:tcPr>
            <w:tcW w:w="709"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_GB2312" w:hAnsi="仿宋_GB2312" w:eastAsia="仿宋_GB2312" w:cs="仿宋_GB2312"/>
                <w:color w:val="000000" w:themeColor="text1"/>
                <w14:textFill>
                  <w14:solidFill>
                    <w14:schemeClr w14:val="tx1"/>
                  </w14:solidFill>
                </w14:textFill>
              </w:rPr>
            </w:pPr>
          </w:p>
        </w:tc>
        <w:tc>
          <w:tcPr>
            <w:tcW w:w="15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仿宋_GB2312" w:eastAsia="仿宋_GB2312" w:cs="仿宋_GB2312"/>
                <w:color w:val="000000" w:themeColor="text1"/>
                <w14:textFill>
                  <w14:solidFill>
                    <w14:schemeClr w14:val="tx1"/>
                  </w14:solidFill>
                </w14:textFill>
              </w:rPr>
            </w:pPr>
          </w:p>
        </w:tc>
        <w:tc>
          <w:tcPr>
            <w:tcW w:w="4072"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5000万元以上</w:t>
            </w:r>
          </w:p>
        </w:tc>
        <w:tc>
          <w:tcPr>
            <w:tcW w:w="117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 xml:space="preserve"> </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6</w:t>
            </w:r>
          </w:p>
        </w:tc>
        <w:tc>
          <w:tcPr>
            <w:tcW w:w="73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 xml:space="preserve"> </w:t>
            </w:r>
          </w:p>
        </w:tc>
      </w:tr>
      <w:tr>
        <w:tblPrEx>
          <w:tblLayout w:type="fixed"/>
          <w:tblCellMar>
            <w:top w:w="0" w:type="dxa"/>
            <w:left w:w="108" w:type="dxa"/>
            <w:bottom w:w="0" w:type="dxa"/>
            <w:right w:w="108" w:type="dxa"/>
          </w:tblCellMar>
        </w:tblPrEx>
        <w:trPr>
          <w:trHeight w:val="347" w:hRule="atLeast"/>
        </w:trPr>
        <w:tc>
          <w:tcPr>
            <w:tcW w:w="709" w:type="dxa"/>
            <w:vMerge w:val="restart"/>
            <w:tcBorders>
              <w:top w:val="nil"/>
              <w:left w:val="single" w:color="auto" w:sz="4" w:space="0"/>
              <w:bottom w:val="nil"/>
              <w:right w:val="single" w:color="auto" w:sz="4" w:space="0"/>
            </w:tcBorders>
            <w:shd w:val="clear" w:color="auto" w:fill="auto"/>
            <w:vAlign w:val="center"/>
          </w:tcPr>
          <w:p>
            <w:pPr>
              <w:widowControl/>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3</w:t>
            </w:r>
          </w:p>
        </w:tc>
        <w:tc>
          <w:tcPr>
            <w:tcW w:w="1560" w:type="dxa"/>
            <w:vMerge w:val="restart"/>
            <w:tcBorders>
              <w:top w:val="nil"/>
              <w:left w:val="single" w:color="auto" w:sz="4" w:space="0"/>
              <w:bottom w:val="nil"/>
              <w:right w:val="single" w:color="auto" w:sz="4" w:space="0"/>
            </w:tcBorders>
            <w:shd w:val="clear" w:color="auto" w:fill="auto"/>
            <w:vAlign w:val="center"/>
          </w:tcPr>
          <w:p>
            <w:pPr>
              <w:widowControl/>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本人所承担的专业工作</w:t>
            </w:r>
          </w:p>
          <w:p>
            <w:pPr>
              <w:widowControl/>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（5分）</w:t>
            </w:r>
          </w:p>
        </w:tc>
        <w:tc>
          <w:tcPr>
            <w:tcW w:w="4072"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法定代表人授权</w:t>
            </w:r>
          </w:p>
        </w:tc>
        <w:tc>
          <w:tcPr>
            <w:tcW w:w="117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 xml:space="preserve"> </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1</w:t>
            </w:r>
          </w:p>
        </w:tc>
        <w:tc>
          <w:tcPr>
            <w:tcW w:w="73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 xml:space="preserve"> </w:t>
            </w:r>
          </w:p>
        </w:tc>
      </w:tr>
      <w:tr>
        <w:tblPrEx>
          <w:tblLayout w:type="fixed"/>
          <w:tblCellMar>
            <w:top w:w="0" w:type="dxa"/>
            <w:left w:w="108" w:type="dxa"/>
            <w:bottom w:w="0" w:type="dxa"/>
            <w:right w:w="108" w:type="dxa"/>
          </w:tblCellMar>
        </w:tblPrEx>
        <w:trPr>
          <w:trHeight w:val="347" w:hRule="atLeast"/>
        </w:trPr>
        <w:tc>
          <w:tcPr>
            <w:tcW w:w="709" w:type="dxa"/>
            <w:vMerge w:val="continue"/>
            <w:tcBorders>
              <w:top w:val="nil"/>
              <w:left w:val="single" w:color="auto" w:sz="4" w:space="0"/>
              <w:bottom w:val="nil"/>
              <w:right w:val="single" w:color="auto" w:sz="4" w:space="0"/>
            </w:tcBorders>
            <w:vAlign w:val="center"/>
          </w:tcPr>
          <w:p>
            <w:pPr>
              <w:widowControl/>
              <w:jc w:val="left"/>
              <w:rPr>
                <w:rFonts w:ascii="仿宋_GB2312" w:hAnsi="仿宋_GB2312" w:eastAsia="仿宋_GB2312" w:cs="仿宋_GB2312"/>
                <w:color w:val="000000" w:themeColor="text1"/>
                <w14:textFill>
                  <w14:solidFill>
                    <w14:schemeClr w14:val="tx1"/>
                  </w14:solidFill>
                </w14:textFill>
              </w:rPr>
            </w:pPr>
          </w:p>
        </w:tc>
        <w:tc>
          <w:tcPr>
            <w:tcW w:w="1560" w:type="dxa"/>
            <w:vMerge w:val="continue"/>
            <w:tcBorders>
              <w:top w:val="nil"/>
              <w:left w:val="single" w:color="auto" w:sz="4" w:space="0"/>
              <w:bottom w:val="nil"/>
              <w:right w:val="single" w:color="auto" w:sz="4" w:space="0"/>
            </w:tcBorders>
            <w:vAlign w:val="center"/>
          </w:tcPr>
          <w:p>
            <w:pPr>
              <w:widowControl/>
              <w:jc w:val="left"/>
              <w:rPr>
                <w:rFonts w:ascii="仿宋_GB2312" w:hAnsi="仿宋_GB2312" w:eastAsia="仿宋_GB2312" w:cs="仿宋_GB2312"/>
                <w:color w:val="000000" w:themeColor="text1"/>
                <w14:textFill>
                  <w14:solidFill>
                    <w14:schemeClr w14:val="tx1"/>
                  </w14:solidFill>
                </w14:textFill>
              </w:rPr>
            </w:pPr>
          </w:p>
        </w:tc>
        <w:tc>
          <w:tcPr>
            <w:tcW w:w="4072"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审定</w:t>
            </w:r>
          </w:p>
        </w:tc>
        <w:tc>
          <w:tcPr>
            <w:tcW w:w="117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　</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0.8</w:t>
            </w:r>
          </w:p>
        </w:tc>
        <w:tc>
          <w:tcPr>
            <w:tcW w:w="73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 xml:space="preserve"> </w:t>
            </w:r>
          </w:p>
        </w:tc>
      </w:tr>
      <w:tr>
        <w:tblPrEx>
          <w:tblLayout w:type="fixed"/>
          <w:tblCellMar>
            <w:top w:w="0" w:type="dxa"/>
            <w:left w:w="108" w:type="dxa"/>
            <w:bottom w:w="0" w:type="dxa"/>
            <w:right w:w="108" w:type="dxa"/>
          </w:tblCellMar>
        </w:tblPrEx>
        <w:trPr>
          <w:trHeight w:val="347" w:hRule="atLeast"/>
        </w:trPr>
        <w:tc>
          <w:tcPr>
            <w:tcW w:w="709" w:type="dxa"/>
            <w:vMerge w:val="continue"/>
            <w:tcBorders>
              <w:top w:val="nil"/>
              <w:left w:val="single" w:color="auto" w:sz="4" w:space="0"/>
              <w:bottom w:val="nil"/>
              <w:right w:val="single" w:color="auto" w:sz="4" w:space="0"/>
            </w:tcBorders>
            <w:vAlign w:val="center"/>
          </w:tcPr>
          <w:p>
            <w:pPr>
              <w:widowControl/>
              <w:jc w:val="left"/>
              <w:rPr>
                <w:rFonts w:ascii="仿宋_GB2312" w:hAnsi="仿宋_GB2312" w:eastAsia="仿宋_GB2312" w:cs="仿宋_GB2312"/>
                <w:color w:val="000000" w:themeColor="text1"/>
                <w14:textFill>
                  <w14:solidFill>
                    <w14:schemeClr w14:val="tx1"/>
                  </w14:solidFill>
                </w14:textFill>
              </w:rPr>
            </w:pPr>
          </w:p>
        </w:tc>
        <w:tc>
          <w:tcPr>
            <w:tcW w:w="1560" w:type="dxa"/>
            <w:vMerge w:val="continue"/>
            <w:tcBorders>
              <w:top w:val="nil"/>
              <w:left w:val="single" w:color="auto" w:sz="4" w:space="0"/>
              <w:bottom w:val="nil"/>
              <w:right w:val="single" w:color="auto" w:sz="4" w:space="0"/>
            </w:tcBorders>
            <w:vAlign w:val="center"/>
          </w:tcPr>
          <w:p>
            <w:pPr>
              <w:widowControl/>
              <w:jc w:val="left"/>
              <w:rPr>
                <w:rFonts w:ascii="仿宋_GB2312" w:hAnsi="仿宋_GB2312" w:eastAsia="仿宋_GB2312" w:cs="仿宋_GB2312"/>
                <w:color w:val="000000" w:themeColor="text1"/>
                <w14:textFill>
                  <w14:solidFill>
                    <w14:schemeClr w14:val="tx1"/>
                  </w14:solidFill>
                </w14:textFill>
              </w:rPr>
            </w:pPr>
          </w:p>
        </w:tc>
        <w:tc>
          <w:tcPr>
            <w:tcW w:w="4072"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审核</w:t>
            </w:r>
          </w:p>
        </w:tc>
        <w:tc>
          <w:tcPr>
            <w:tcW w:w="117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　</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0.6</w:t>
            </w:r>
          </w:p>
        </w:tc>
        <w:tc>
          <w:tcPr>
            <w:tcW w:w="73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 xml:space="preserve"> </w:t>
            </w:r>
          </w:p>
        </w:tc>
      </w:tr>
      <w:tr>
        <w:tblPrEx>
          <w:tblLayout w:type="fixed"/>
          <w:tblCellMar>
            <w:top w:w="0" w:type="dxa"/>
            <w:left w:w="108" w:type="dxa"/>
            <w:bottom w:w="0" w:type="dxa"/>
            <w:right w:w="108" w:type="dxa"/>
          </w:tblCellMar>
        </w:tblPrEx>
        <w:trPr>
          <w:trHeight w:val="347" w:hRule="atLeast"/>
        </w:trPr>
        <w:tc>
          <w:tcPr>
            <w:tcW w:w="709" w:type="dxa"/>
            <w:vMerge w:val="continue"/>
            <w:tcBorders>
              <w:top w:val="nil"/>
              <w:left w:val="single" w:color="auto" w:sz="4" w:space="0"/>
              <w:bottom w:val="nil"/>
              <w:right w:val="single" w:color="auto" w:sz="4" w:space="0"/>
            </w:tcBorders>
            <w:vAlign w:val="center"/>
          </w:tcPr>
          <w:p>
            <w:pPr>
              <w:widowControl/>
              <w:jc w:val="left"/>
              <w:rPr>
                <w:rFonts w:ascii="仿宋_GB2312" w:hAnsi="仿宋_GB2312" w:eastAsia="仿宋_GB2312" w:cs="仿宋_GB2312"/>
                <w:color w:val="000000" w:themeColor="text1"/>
                <w14:textFill>
                  <w14:solidFill>
                    <w14:schemeClr w14:val="tx1"/>
                  </w14:solidFill>
                </w14:textFill>
              </w:rPr>
            </w:pPr>
          </w:p>
        </w:tc>
        <w:tc>
          <w:tcPr>
            <w:tcW w:w="1560" w:type="dxa"/>
            <w:vMerge w:val="continue"/>
            <w:tcBorders>
              <w:top w:val="nil"/>
              <w:left w:val="single" w:color="auto" w:sz="4" w:space="0"/>
              <w:bottom w:val="nil"/>
              <w:right w:val="single" w:color="auto" w:sz="4" w:space="0"/>
            </w:tcBorders>
            <w:vAlign w:val="center"/>
          </w:tcPr>
          <w:p>
            <w:pPr>
              <w:widowControl/>
              <w:jc w:val="left"/>
              <w:rPr>
                <w:rFonts w:ascii="仿宋_GB2312" w:hAnsi="仿宋_GB2312" w:eastAsia="仿宋_GB2312" w:cs="仿宋_GB2312"/>
                <w:color w:val="000000" w:themeColor="text1"/>
                <w14:textFill>
                  <w14:solidFill>
                    <w14:schemeClr w14:val="tx1"/>
                  </w14:solidFill>
                </w14:textFill>
              </w:rPr>
            </w:pPr>
          </w:p>
        </w:tc>
        <w:tc>
          <w:tcPr>
            <w:tcW w:w="4072"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编制</w:t>
            </w:r>
          </w:p>
        </w:tc>
        <w:tc>
          <w:tcPr>
            <w:tcW w:w="117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　</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0.4</w:t>
            </w:r>
          </w:p>
        </w:tc>
        <w:tc>
          <w:tcPr>
            <w:tcW w:w="73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 xml:space="preserve"> </w:t>
            </w:r>
          </w:p>
        </w:tc>
      </w:tr>
      <w:tr>
        <w:tblPrEx>
          <w:tblLayout w:type="fixed"/>
          <w:tblCellMar>
            <w:top w:w="0" w:type="dxa"/>
            <w:left w:w="108" w:type="dxa"/>
            <w:bottom w:w="0" w:type="dxa"/>
            <w:right w:w="108" w:type="dxa"/>
          </w:tblCellMar>
        </w:tblPrEx>
        <w:trPr>
          <w:trHeight w:val="347"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 xml:space="preserve"> </w:t>
            </w:r>
          </w:p>
        </w:tc>
        <w:tc>
          <w:tcPr>
            <w:tcW w:w="5632" w:type="dxa"/>
            <w:gridSpan w:val="3"/>
            <w:tcBorders>
              <w:top w:val="single" w:color="auto" w:sz="4" w:space="0"/>
              <w:left w:val="nil"/>
              <w:bottom w:val="single" w:color="auto" w:sz="4" w:space="0"/>
              <w:right w:val="nil"/>
            </w:tcBorders>
            <w:shd w:val="clear" w:color="auto" w:fill="auto"/>
            <w:vAlign w:val="center"/>
          </w:tcPr>
          <w:p>
            <w:pPr>
              <w:widowControl/>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合计</w:t>
            </w:r>
          </w:p>
        </w:tc>
        <w:tc>
          <w:tcPr>
            <w:tcW w:w="117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　</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　</w:t>
            </w: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color w:val="000000" w:themeColor="text1"/>
                <w14:textFill>
                  <w14:solidFill>
                    <w14:schemeClr w14:val="tx1"/>
                  </w14:solidFill>
                </w14:textFill>
              </w:rPr>
            </w:pPr>
            <w:r>
              <w:rPr>
                <w:rFonts w:ascii="仿宋_GB2312" w:hAnsi="仿宋_GB2312" w:eastAsia="仿宋_GB2312" w:cs="仿宋_GB2312"/>
                <w:color w:val="000000" w:themeColor="text1"/>
                <w14:textFill>
                  <w14:solidFill>
                    <w14:schemeClr w14:val="tx1"/>
                  </w14:solidFill>
                </w14:textFill>
              </w:rPr>
              <w:t xml:space="preserve"> </w:t>
            </w:r>
          </w:p>
        </w:tc>
      </w:tr>
    </w:tbl>
    <w:p>
      <w:pPr>
        <w:widowControl/>
        <w:rPr>
          <w:rFonts w:ascii="宋体" w:hAnsi="宋体" w:eastAsia="宋体" w:cs="宋体"/>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A6787"/>
    <w:multiLevelType w:val="multilevel"/>
    <w:tmpl w:val="1B1A6787"/>
    <w:lvl w:ilvl="0" w:tentative="0">
      <w:start w:val="1"/>
      <w:numFmt w:val="decimal"/>
      <w:lvlText w:val="%1."/>
      <w:lvlJc w:val="left"/>
      <w:pPr>
        <w:ind w:left="1000" w:hanging="360"/>
      </w:pPr>
      <w:rPr>
        <w:rFonts w:hint="default" w:hAnsi="Arial"/>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29960E91"/>
    <w:multiLevelType w:val="multilevel"/>
    <w:tmpl w:val="29960E9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954"/>
    <w:rsid w:val="00036F21"/>
    <w:rsid w:val="00076B5C"/>
    <w:rsid w:val="000F366F"/>
    <w:rsid w:val="00150091"/>
    <w:rsid w:val="00162071"/>
    <w:rsid w:val="00171270"/>
    <w:rsid w:val="001D60CF"/>
    <w:rsid w:val="001F6AD9"/>
    <w:rsid w:val="00205064"/>
    <w:rsid w:val="00206E3C"/>
    <w:rsid w:val="0021141A"/>
    <w:rsid w:val="00226BF1"/>
    <w:rsid w:val="00226D00"/>
    <w:rsid w:val="00236AF3"/>
    <w:rsid w:val="00260E70"/>
    <w:rsid w:val="002734C0"/>
    <w:rsid w:val="002A62C4"/>
    <w:rsid w:val="002E53D8"/>
    <w:rsid w:val="002E5B96"/>
    <w:rsid w:val="00305173"/>
    <w:rsid w:val="003070E3"/>
    <w:rsid w:val="00327337"/>
    <w:rsid w:val="00336A8A"/>
    <w:rsid w:val="0033766C"/>
    <w:rsid w:val="00372399"/>
    <w:rsid w:val="00392C92"/>
    <w:rsid w:val="003B05BA"/>
    <w:rsid w:val="003B45F0"/>
    <w:rsid w:val="003E5BE9"/>
    <w:rsid w:val="00417203"/>
    <w:rsid w:val="00446E3D"/>
    <w:rsid w:val="0047156D"/>
    <w:rsid w:val="00492F97"/>
    <w:rsid w:val="004A125B"/>
    <w:rsid w:val="004B7F01"/>
    <w:rsid w:val="004C2FF6"/>
    <w:rsid w:val="004E570E"/>
    <w:rsid w:val="004F03E2"/>
    <w:rsid w:val="00515DC6"/>
    <w:rsid w:val="005370E9"/>
    <w:rsid w:val="00552100"/>
    <w:rsid w:val="005538F7"/>
    <w:rsid w:val="005565D7"/>
    <w:rsid w:val="00585E55"/>
    <w:rsid w:val="0059336C"/>
    <w:rsid w:val="005A03C8"/>
    <w:rsid w:val="005C3CD3"/>
    <w:rsid w:val="005D3F09"/>
    <w:rsid w:val="005F086D"/>
    <w:rsid w:val="00602225"/>
    <w:rsid w:val="00603375"/>
    <w:rsid w:val="0060531E"/>
    <w:rsid w:val="006158BD"/>
    <w:rsid w:val="00632F3F"/>
    <w:rsid w:val="00692273"/>
    <w:rsid w:val="006A58C6"/>
    <w:rsid w:val="006C4AEF"/>
    <w:rsid w:val="006D3006"/>
    <w:rsid w:val="00707507"/>
    <w:rsid w:val="0072463F"/>
    <w:rsid w:val="00725F38"/>
    <w:rsid w:val="00727A15"/>
    <w:rsid w:val="00743A72"/>
    <w:rsid w:val="007512CC"/>
    <w:rsid w:val="00757638"/>
    <w:rsid w:val="007B33F6"/>
    <w:rsid w:val="007C1954"/>
    <w:rsid w:val="007D3040"/>
    <w:rsid w:val="008216B4"/>
    <w:rsid w:val="00843A92"/>
    <w:rsid w:val="008A1F5A"/>
    <w:rsid w:val="0092743A"/>
    <w:rsid w:val="009E654C"/>
    <w:rsid w:val="009E75BA"/>
    <w:rsid w:val="00A4428E"/>
    <w:rsid w:val="00AD2B63"/>
    <w:rsid w:val="00AF159C"/>
    <w:rsid w:val="00B27DE4"/>
    <w:rsid w:val="00B75A1F"/>
    <w:rsid w:val="00B86BC1"/>
    <w:rsid w:val="00C10A0C"/>
    <w:rsid w:val="00C8115E"/>
    <w:rsid w:val="00C8556F"/>
    <w:rsid w:val="00C94222"/>
    <w:rsid w:val="00CB067B"/>
    <w:rsid w:val="00CD206F"/>
    <w:rsid w:val="00CD5528"/>
    <w:rsid w:val="00D44AF7"/>
    <w:rsid w:val="00D80EFF"/>
    <w:rsid w:val="00DB46DE"/>
    <w:rsid w:val="00DC3590"/>
    <w:rsid w:val="00DF556C"/>
    <w:rsid w:val="00E16E7B"/>
    <w:rsid w:val="00E76321"/>
    <w:rsid w:val="00EC709A"/>
    <w:rsid w:val="00EF191A"/>
    <w:rsid w:val="00F00195"/>
    <w:rsid w:val="03BB7BC9"/>
    <w:rsid w:val="04D717EA"/>
    <w:rsid w:val="0FCB3122"/>
    <w:rsid w:val="14BA54B4"/>
    <w:rsid w:val="177D3018"/>
    <w:rsid w:val="1BEF120B"/>
    <w:rsid w:val="26D01A56"/>
    <w:rsid w:val="2EDA62BD"/>
    <w:rsid w:val="37B22158"/>
    <w:rsid w:val="3D84201E"/>
    <w:rsid w:val="3FB86CF1"/>
    <w:rsid w:val="50571320"/>
    <w:rsid w:val="549F0C18"/>
    <w:rsid w:val="55920BE9"/>
    <w:rsid w:val="61743DD9"/>
    <w:rsid w:val="61E853AC"/>
    <w:rsid w:val="6E5B44B3"/>
    <w:rsid w:val="708A7E15"/>
    <w:rsid w:val="7346630A"/>
    <w:rsid w:val="74C700B9"/>
    <w:rsid w:val="75280EE5"/>
    <w:rsid w:val="789B1B66"/>
    <w:rsid w:val="7B4E58A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annotation text"/>
    <w:basedOn w:val="1"/>
    <w:link w:val="15"/>
    <w:semiHidden/>
    <w:unhideWhenUsed/>
    <w:qFormat/>
    <w:uiPriority w:val="0"/>
    <w:pPr>
      <w:jc w:val="left"/>
    </w:pPr>
  </w:style>
  <w:style w:type="paragraph" w:styleId="3">
    <w:name w:val="Balloon Text"/>
    <w:basedOn w:val="1"/>
    <w:link w:val="14"/>
    <w:semiHidden/>
    <w:unhideWhenUsed/>
    <w:qFormat/>
    <w:uiPriority w:val="0"/>
    <w:rPr>
      <w:sz w:val="18"/>
      <w:szCs w:val="18"/>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link w:val="12"/>
    <w:unhideWhenUsed/>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6"/>
    <w:semiHidden/>
    <w:unhideWhenUsed/>
    <w:qFormat/>
    <w:uiPriority w:val="0"/>
    <w:rPr>
      <w:b/>
      <w:bCs/>
    </w:rPr>
  </w:style>
  <w:style w:type="character" w:styleId="9">
    <w:name w:val="page number"/>
    <w:basedOn w:val="8"/>
    <w:qFormat/>
    <w:uiPriority w:val="0"/>
  </w:style>
  <w:style w:type="character" w:styleId="10">
    <w:name w:val="annotation reference"/>
    <w:basedOn w:val="8"/>
    <w:semiHidden/>
    <w:unhideWhenUsed/>
    <w:qFormat/>
    <w:uiPriority w:val="0"/>
    <w:rPr>
      <w:sz w:val="21"/>
      <w:szCs w:val="21"/>
    </w:rPr>
  </w:style>
  <w:style w:type="paragraph" w:customStyle="1" w:styleId="11">
    <w:name w:val="_Style 1"/>
    <w:basedOn w:val="1"/>
    <w:qFormat/>
    <w:uiPriority w:val="34"/>
    <w:pPr>
      <w:ind w:firstLine="420" w:firstLineChars="200"/>
    </w:pPr>
  </w:style>
  <w:style w:type="character" w:customStyle="1" w:styleId="12">
    <w:name w:val="页眉 字符"/>
    <w:basedOn w:val="8"/>
    <w:link w:val="5"/>
    <w:qFormat/>
    <w:uiPriority w:val="0"/>
    <w:rPr>
      <w:rFonts w:asciiTheme="minorHAnsi" w:hAnsiTheme="minorHAnsi" w:eastAsiaTheme="minorEastAsia" w:cstheme="minorBidi"/>
      <w:kern w:val="2"/>
      <w:sz w:val="18"/>
      <w:szCs w:val="18"/>
    </w:rPr>
  </w:style>
  <w:style w:type="paragraph" w:styleId="13">
    <w:name w:val="List Paragraph"/>
    <w:basedOn w:val="1"/>
    <w:unhideWhenUsed/>
    <w:qFormat/>
    <w:uiPriority w:val="99"/>
    <w:pPr>
      <w:ind w:firstLine="420" w:firstLineChars="200"/>
    </w:pPr>
  </w:style>
  <w:style w:type="character" w:customStyle="1" w:styleId="14">
    <w:name w:val="批注框文本 字符"/>
    <w:basedOn w:val="8"/>
    <w:link w:val="3"/>
    <w:semiHidden/>
    <w:qFormat/>
    <w:uiPriority w:val="0"/>
    <w:rPr>
      <w:rFonts w:asciiTheme="minorHAnsi" w:hAnsiTheme="minorHAnsi" w:eastAsiaTheme="minorEastAsia" w:cstheme="minorBidi"/>
      <w:kern w:val="2"/>
      <w:sz w:val="18"/>
      <w:szCs w:val="18"/>
    </w:rPr>
  </w:style>
  <w:style w:type="character" w:customStyle="1" w:styleId="15">
    <w:name w:val="批注文字 字符"/>
    <w:basedOn w:val="8"/>
    <w:link w:val="2"/>
    <w:semiHidden/>
    <w:qFormat/>
    <w:uiPriority w:val="0"/>
    <w:rPr>
      <w:rFonts w:asciiTheme="minorHAnsi" w:hAnsiTheme="minorHAnsi" w:eastAsiaTheme="minorEastAsia" w:cstheme="minorBidi"/>
      <w:kern w:val="2"/>
      <w:sz w:val="21"/>
      <w:szCs w:val="24"/>
    </w:rPr>
  </w:style>
  <w:style w:type="character" w:customStyle="1" w:styleId="16">
    <w:name w:val="批注主题 字符"/>
    <w:basedOn w:val="15"/>
    <w:link w:val="6"/>
    <w:semiHidden/>
    <w:qFormat/>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662</Words>
  <Characters>3775</Characters>
  <Lines>31</Lines>
  <Paragraphs>8</Paragraphs>
  <TotalTime>87</TotalTime>
  <ScaleCrop>false</ScaleCrop>
  <LinksUpToDate>false</LinksUpToDate>
  <CharactersWithSpaces>4429</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2017-10-16T03:17:00Z</dcterms:created>
  <dc:creator>Administrator</dc:creator>
  <cp:lastModifiedBy>me</cp:lastModifiedBy>
  <cp:lastPrinted>2019-08-28T01:09:00Z</cp:lastPrinted>
  <dcterms:modified xsi:type="dcterms:W3CDTF">2019-08-28T01:59:22Z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