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7B7" w:rsidRDefault="00623D25" w:rsidP="00623D25">
      <w:pPr>
        <w:jc w:val="center"/>
        <w:rPr>
          <w:rStyle w:val="a3"/>
          <w:rFonts w:ascii="微软雅黑" w:eastAsia="微软雅黑" w:hAnsi="微软雅黑"/>
          <w:color w:val="000000"/>
          <w:sz w:val="18"/>
          <w:szCs w:val="18"/>
          <w:shd w:val="clear" w:color="auto" w:fill="FFFFFF"/>
        </w:rPr>
      </w:pPr>
      <w:bookmarkStart w:id="0" w:name="_GoBack"/>
      <w:r>
        <w:rPr>
          <w:rStyle w:val="a3"/>
          <w:rFonts w:ascii="微软雅黑" w:eastAsia="微软雅黑" w:hAnsi="微软雅黑" w:hint="eastAsia"/>
          <w:color w:val="000000"/>
          <w:sz w:val="18"/>
          <w:szCs w:val="18"/>
          <w:shd w:val="clear" w:color="auto" w:fill="FFFFFF"/>
        </w:rPr>
        <w:t>房屋建筑和市政基础设施项目工程总承包管理办法</w:t>
      </w:r>
      <w:bookmarkEnd w:id="0"/>
    </w:p>
    <w:p w:rsidR="00623D25" w:rsidRDefault="00623D25" w:rsidP="00623D25">
      <w:pPr>
        <w:pStyle w:val="a4"/>
        <w:shd w:val="clear" w:color="auto" w:fill="FFFFFF"/>
        <w:spacing w:before="0" w:beforeAutospacing="0" w:after="0" w:afterAutospacing="0"/>
        <w:jc w:val="center"/>
        <w:rPr>
          <w:rFonts w:ascii="微软雅黑" w:eastAsia="微软雅黑" w:hAnsi="微软雅黑"/>
          <w:color w:val="000000"/>
          <w:sz w:val="18"/>
          <w:szCs w:val="18"/>
        </w:rPr>
      </w:pPr>
      <w:r>
        <w:rPr>
          <w:rStyle w:val="a3"/>
          <w:rFonts w:ascii="微软雅黑" w:eastAsia="微软雅黑" w:hAnsi="微软雅黑" w:hint="eastAsia"/>
          <w:color w:val="000000"/>
          <w:sz w:val="18"/>
          <w:szCs w:val="18"/>
        </w:rPr>
        <w:t>第一章  总则</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第一条  为规范房屋建筑和市政基础设施项目工程总承包活动，提升工程建设质量和效益，根据相关法律法规，制定本办法。</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第二条  从事房屋建筑和市政基础设施项目工程总承包活动，实施对房屋建筑和市政基础设施项目工程总承包活动的监督管理，适用本办法。</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第三条  本办法所称工程总承包，是指承包单位按照与建设单位签订的合同，对工程设计、采购、施工或者设计、施工等阶段实行总承包，并对工程的质量、安全、工期和造价等全面负责的工程建设组织实施方式。</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第四条  工程总承包活动应当遵循合法、公平、诚实守信的原则，合理分担风险，保证工程质量和安全，节约能源，保护生态环境，不得损害社会公共利益和他人的合法权益。</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第五条  国务院住房和城乡建设主管部门对全国房屋建筑和市政基础设施项目工程总承包活动实施监督管理。国务院发展改革部门依据固定资产投资建设管理的相关法律法规履行相应的管理职责。</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县级以上地方人民政府住房和城乡建设主管部门负责本行政区域内房屋建筑和市政基础设施项目工程总承包（以下简称工程总承包）活动的监督管理。县级以上地方人民政府发展改革部门依据固定资产投资建设管理的相关法律法规在本行政区域内履行相应的管理职责。</w:t>
      </w:r>
    </w:p>
    <w:p w:rsidR="00623D25" w:rsidRDefault="00623D25" w:rsidP="00623D25">
      <w:pPr>
        <w:pStyle w:val="a4"/>
        <w:shd w:val="clear" w:color="auto" w:fill="FFFFFF"/>
        <w:spacing w:before="0" w:beforeAutospacing="0" w:after="0" w:afterAutospacing="0"/>
        <w:jc w:val="center"/>
        <w:rPr>
          <w:rFonts w:ascii="微软雅黑" w:eastAsia="微软雅黑" w:hAnsi="微软雅黑" w:hint="eastAsia"/>
          <w:color w:val="000000"/>
          <w:sz w:val="18"/>
          <w:szCs w:val="18"/>
        </w:rPr>
      </w:pPr>
      <w:r>
        <w:rPr>
          <w:rStyle w:val="a3"/>
          <w:rFonts w:ascii="微软雅黑" w:eastAsia="微软雅黑" w:hAnsi="微软雅黑" w:hint="eastAsia"/>
          <w:color w:val="000000"/>
          <w:sz w:val="18"/>
          <w:szCs w:val="18"/>
        </w:rPr>
        <w:t>第二章  工程总承包项目的发包和承包</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第六条  建设单位应当根据项目情况和自身管理能力等，合理选择工程建设组织实施方式。</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建设内容明确、技术方案成熟的项目，适宜采用工程总承包方式。</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第七条  建设单位应当在发包前完成项目审批、核准或者备案程序。采用工程总承包方式的企业投资项目，应当在核准或者备案后进行工程总承包项目发包。采用工程总承包方式的政府投资项目，原则上应当在初步设计审批完成后进行工程总承包项目发包；其中，按照国家有关规定简化报批文件和审批程序的政府投资项目，应当在完成相应的投资决策审批后进行工程总承包项目发包。</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第八条  建设单位依法采用招标或者直接发包等方式选择工程总承包单位。</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工程总承包项目范围内的设计、采购或者施工中，有任一项属于依法必须进行招标的项目范围且达到国家规定规模标准的，应当采用招标的方式选择工程总承包单位。</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第九条  建设单位应当根据招标项目的特点和需要编制工程总承包项目招标文件，主要包括以下内容：</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（一）投标人须知；</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（二）评标办法和标准；</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（三）拟签订合同的主要条款；</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（四）发包人要求，列明项目的目标、范围、设计和其他技术标准，包括对项目的内容、范围、规模、标准、功能、质量、安全、节约能源、生态环境保护、工期、验收等的明确要求；</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（五）建设单位提供的资料和条件，包括发包前完成的水文地质、工程地质、地形等勘察资料，以及可行性研究报告、方案设计文件或者初步设计文件等；</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（六）投标文件格式；</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（七）要求投标人提交的其他材料。</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建设单位可以在招标文件中提出对履约担保的要求，依法要求投标文件载明拟分包的内容；对于设有最高投标限价的，应当明确最高投标限价或者最高投标限价的计算方法。</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推荐使用由住房和城乡建设部会同有关部门制定的工程总承包合同示范文本。</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第十条  工程总承包单位应当同时具有与工程规模相适应的工程设计资质和施工资质，或者由具有相应资质的设计单位和施工单位组成联合体。工程总承包单位应当具有相应的项目管理体系和项目管理能力、财务和风险承担能力，以及与发包工程相类似的设计、施工或者工程总承包业绩。</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lastRenderedPageBreak/>
        <w:t xml:space="preserve">　　设计单位和施工单位组成联合体的，应当根据项目的特点和复杂程度，合理确定牵头单位，并在联合体协议中明确联合体成员单位的责任和权利。联合体各方应当共同与建设单位签订工程总承包合同，就工程总承包项目承担连带责任。</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第十一条  工程总承包单位不得是工程总承包项目的代建单位、项目管理单位、监理单位、造价咨询单位、招标代理单位。</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政府投资项目的项目建议书、可行性研究报告、初步设计文件编制单位及其评估单位，一般不得成为该项目的工程总承包单位。政府投资项目招标人公开已经完成的项目建议书、可行性研究报告、初步设计文件的，上述单位可以参与该工程总承包项目的投标，经依法评标、定标，成为工程总承包单位。</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第十二条  鼓励设计单位申请取得施工资质，已取得工程设计综合资质、行业甲级资质、建筑工程专业甲级资质的单位，可以直接申请相应类别施工总承包一级资质。鼓励施工单位申请取得工程设计资质，具有一级及以上施工总承包资质的单位可以直接申请相应类别的工程设计甲级资质。完成的相应规模工程总承包业绩可以作为设计、施工业绩申报。</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第十三条  建设单位应当依法确定投标人编制工程总承包项目投标文件所需要的合理时间。</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第十四条  评标委员会应当依照法律规定和项目特点，由建设单位代表、具有工程总承包项目管理经验的专家，以及从事设计、施工、造价等方面的专家组成。</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第十五条  建设单位和工程总承包单位应当加强风险管理，合理分担风险。</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建设单位承担的风险主要包括：</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（一）主要工程材料、设备、人工价格与招标时基期价相比，波动幅度超过合同约定幅度的部分；</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（二）因国家法律法规政策变化引起的合同价格的变化；</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（三）不可预见的地质条件造成的工程费用和工期的变化；</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（四）因建设单位原因产生的工程费用和工期的变化；</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（五）不可抗力造成的工程费用和工期的变化。</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具体风险分担内容由双方在合同中约定。</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鼓励建设单位和工程总承包单位运用保险手段增强防范风险能力。</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第十六条  企业投资项目的工程总承包宜采用总价合同，政府投资项目的工程总承包应当合理确定合同价格形式。采用总价合同的，除合同约定可以调整的情形外，合同总价一般不予调整。</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建设单位和工程总承包单位可以在合同中约定工程总承包计量规则和计价方法。</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依法必须进行招标的项目，合同价格应当在充分竞争的基础上合理确定。</w:t>
      </w:r>
    </w:p>
    <w:p w:rsidR="00623D25" w:rsidRDefault="00623D25" w:rsidP="00623D25">
      <w:pPr>
        <w:pStyle w:val="a4"/>
        <w:shd w:val="clear" w:color="auto" w:fill="FFFFFF"/>
        <w:spacing w:before="0" w:beforeAutospacing="0" w:after="0" w:afterAutospacing="0"/>
        <w:jc w:val="center"/>
        <w:rPr>
          <w:rFonts w:ascii="微软雅黑" w:eastAsia="微软雅黑" w:hAnsi="微软雅黑" w:hint="eastAsia"/>
          <w:color w:val="000000"/>
          <w:sz w:val="18"/>
          <w:szCs w:val="18"/>
        </w:rPr>
      </w:pPr>
      <w:r>
        <w:rPr>
          <w:rStyle w:val="a3"/>
          <w:rFonts w:ascii="微软雅黑" w:eastAsia="微软雅黑" w:hAnsi="微软雅黑" w:hint="eastAsia"/>
          <w:color w:val="000000"/>
          <w:sz w:val="18"/>
          <w:szCs w:val="18"/>
        </w:rPr>
        <w:t>第三章  工程总承包项目实施</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第十七条  建设单位根据自身资源和能力，可以自行对工程总承包项目进行管理，也可以委托勘察设计单位、代建单位等项目管理单位，赋予相应权利，依照合同对工程总承包项目进行管理。</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第十八条  工程总承包单位应当建立与工程总承包相适应的组织机构和管理制度，形成项目设计、采购、施工、试运行管理以及质量、安全、工期、造价、节约能源和生态环境保护管理等工程总承包综合管理能力。</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第十九条  工程总承包单位应当设立项目管理机构，设置项目经理，配备相应管理人员，加强设计、采购与施工的协调，完善和优化设计，改进施工方案，实现对工程总承包项目的有效管理控制。</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第二十条  工程总承包项目经理应当具备下列条件：</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（一）取得相应工程建设类注册执业资格，包括注册建筑师、勘察设计注册工程师、注册建造师或者注册监理工程师等；未实施注册执业资格的，取得高级专业技术职称；</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（二）担任过与拟建项目相类似的工程总承包项目经理、设计项目负责人、施工项目负责人或者项目总监理工程师；</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（三）熟悉工程技术和工程总承包项目管理知识以及相关法律法规、标准规范；</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（四）具有较强的组织协调能力和良好的职业道德。</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lastRenderedPageBreak/>
        <w:t xml:space="preserve">　　工程总承包项目经理不得同时在两个或者两个以上工程项目担任工程总承包项目经理、施工项目负责人。</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第二十一条  工程总承包单位可以采用直接发包的方式进行分包。但以暂估价形式包括在总承包范围内的工程、货物、服务分包时，属于依法必须进行招标的项目范围且达到国家规定规模标准的，应当依法招标。</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第二十二条  建设单位不得迫使工程总承包单位以低于成本的价格竞标，不得明示或者暗示工程总承包单位违反工程建设强制性标准、降低建设工程质量，不得明示或者暗示工程总承包单位使用不合格的建筑材料、建筑构配件和设备。</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工程总承包单位应当对其承包的全部建设工程质量负责，分包单位对其分包工程的质量负责，分包不免除工程总承包单位对其承包的全部建设工程所负的质量责任。</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工程总承包单位、工程总承包项目经理依法承担质量终身责任。</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第二十三条  建设单位不得对工程总承包单位提出不符合建设工程安全生产法律、法规和强制性标准规定的要求，不得明示或者暗示工程总承包单位购买、租赁、使用不符合安全施工要求的安全防护用具、机械设备、施工机具及配件、消防设施和器材。</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工程总承包单位对承包范围内工程的安全生产负总责。分包单位应当服从工程总承包单位的安全生产管理，分包单位不服从管理导致生产安全事故的，由分包单位承担主要责任，分包不免除工程总承包单位的安全责任。</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第二十四条  建设单位不得设置不合理工期，不得任意压缩合理工期。</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工程总承包单位应当依据合同对工期全面负责，对项目总进度和各阶段的进度进行控制管理，确保工程按期竣工。</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第二十五条  工程保修书由建设单位与工程总承包单位签署，保修期内工程总承包单位应当根据法律法规规定以及合同约定承担保修责任，工程总承包单位不得以其与分包单位之间保修责任划分而拒绝履行保修责任。</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第二十六条  建设单位和工程总承包单位应当加强设计、施工等环节管理，确保建设地点、建设规模、建设内容等符合项目审批、核准、备案要求。</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政府投资项目所需资金应当按照国家有关规定确保落实到位，不得由工程总承包单位或者分包单位垫资建设。政府投资项目建设投资原则上不得超过经核定的投资概算。</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第二十七条  工程总承包单位和工程总承包项目经理在设计、施工活动中有转包违法分包等违法违规行为或者造成工程质量安全事故的，按照法律法规对设计、施工单位及其项目负责人相同违法违规行为的规定追究责任。</w:t>
      </w:r>
    </w:p>
    <w:p w:rsidR="00623D25" w:rsidRDefault="00623D25" w:rsidP="00623D25">
      <w:pPr>
        <w:pStyle w:val="a4"/>
        <w:shd w:val="clear" w:color="auto" w:fill="FFFFFF"/>
        <w:spacing w:before="0" w:beforeAutospacing="0" w:after="0" w:afterAutospacing="0"/>
        <w:jc w:val="center"/>
        <w:rPr>
          <w:rFonts w:ascii="微软雅黑" w:eastAsia="微软雅黑" w:hAnsi="微软雅黑" w:hint="eastAsia"/>
          <w:color w:val="000000"/>
          <w:sz w:val="18"/>
          <w:szCs w:val="18"/>
        </w:rPr>
      </w:pPr>
      <w:r>
        <w:rPr>
          <w:rStyle w:val="a3"/>
          <w:rFonts w:ascii="微软雅黑" w:eastAsia="微软雅黑" w:hAnsi="微软雅黑" w:hint="eastAsia"/>
          <w:color w:val="000000"/>
          <w:sz w:val="18"/>
          <w:szCs w:val="18"/>
        </w:rPr>
        <w:t>第四章  附则</w:t>
      </w:r>
    </w:p>
    <w:p w:rsidR="00623D25" w:rsidRDefault="00623D25" w:rsidP="00623D25">
      <w:pPr>
        <w:pStyle w:val="a4"/>
        <w:shd w:val="clear" w:color="auto" w:fill="FFFFFF"/>
        <w:spacing w:before="0" w:beforeAutospacing="0" w:after="0" w:afterAutospacing="0"/>
        <w:rPr>
          <w:rFonts w:ascii="微软雅黑" w:eastAsia="微软雅黑" w:hAnsi="微软雅黑" w:hint="eastAsia"/>
          <w:color w:val="000000"/>
          <w:sz w:val="18"/>
          <w:szCs w:val="18"/>
        </w:rPr>
      </w:pPr>
      <w:r>
        <w:rPr>
          <w:rFonts w:ascii="微软雅黑" w:eastAsia="微软雅黑" w:hAnsi="微软雅黑" w:hint="eastAsia"/>
          <w:color w:val="000000"/>
          <w:sz w:val="18"/>
          <w:szCs w:val="18"/>
        </w:rPr>
        <w:t xml:space="preserve">　　第二十八条  本办法自2020年3月1日起施行。</w:t>
      </w:r>
    </w:p>
    <w:p w:rsidR="00623D25" w:rsidRPr="00623D25" w:rsidRDefault="00623D25">
      <w:pPr>
        <w:rPr>
          <w:rFonts w:hint="eastAsia"/>
        </w:rPr>
      </w:pPr>
    </w:p>
    <w:sectPr w:rsidR="00623D25" w:rsidRPr="00623D2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3E6"/>
    <w:rsid w:val="000031FF"/>
    <w:rsid w:val="00076201"/>
    <w:rsid w:val="000A7C3D"/>
    <w:rsid w:val="00273320"/>
    <w:rsid w:val="005B2ADD"/>
    <w:rsid w:val="005E068D"/>
    <w:rsid w:val="00623D25"/>
    <w:rsid w:val="006C66FD"/>
    <w:rsid w:val="00724C0B"/>
    <w:rsid w:val="0079479A"/>
    <w:rsid w:val="00870622"/>
    <w:rsid w:val="008D4127"/>
    <w:rsid w:val="009B751C"/>
    <w:rsid w:val="009D0B84"/>
    <w:rsid w:val="00A60FF8"/>
    <w:rsid w:val="00A86BE1"/>
    <w:rsid w:val="00AA5C62"/>
    <w:rsid w:val="00AF74F9"/>
    <w:rsid w:val="00D523E6"/>
    <w:rsid w:val="00D528D9"/>
    <w:rsid w:val="00EA271E"/>
    <w:rsid w:val="00F757B7"/>
    <w:rsid w:val="00FE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0850D-89A8-482E-BBAA-193B39D44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23D25"/>
    <w:rPr>
      <w:b/>
      <w:bCs/>
    </w:rPr>
  </w:style>
  <w:style w:type="paragraph" w:styleId="a4">
    <w:name w:val="Normal (Web)"/>
    <w:basedOn w:val="a"/>
    <w:uiPriority w:val="99"/>
    <w:semiHidden/>
    <w:unhideWhenUsed/>
    <w:rsid w:val="00623D2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479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598</Words>
  <Characters>3411</Characters>
  <Application>Microsoft Office Word</Application>
  <DocSecurity>0</DocSecurity>
  <Lines>28</Lines>
  <Paragraphs>8</Paragraphs>
  <ScaleCrop>false</ScaleCrop>
  <Company>Organization</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2021-02-25T02:11:00Z</dcterms:created>
  <dcterms:modified xsi:type="dcterms:W3CDTF">2021-02-25T02:12:00Z</dcterms:modified>
</cp:coreProperties>
</file>